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https://www.autoritedelaconcurrence.fr/fr/decision-de-controle-des-concentrations/relative-la-prise-de-controle-exclusif-du-groupe-cogelec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25-DCC-196 of August 20, 2025  </w:t>
        <w:br/>
        <w:t xml:space="preserve">regarding the exclusive control acquisition of the Cogelec group  </w:t>
        <w:br/>
        <w:t>by the Legrand group</w:t>
      </w:r>
    </w:p>
    <w:p>
      <w:r>
        <w:t>The Competition Authority,</w:t>
      </w:r>
    </w:p>
    <w:p>
      <w:r>
        <w:t xml:space="preserve">Having regard to the complete notification file sent to the mergers department on August 1, 2025,  </w:t>
        <w:br/>
        <w:t xml:space="preserve">concerning the exclusive control acquisition of the Cogelec group by the Legrand group formalized by  </w:t>
        <w:br/>
        <w:t>an acquisition contract signed on July 31, 2025;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additional elements submitted by the notifying party during the investigation;</w:t>
      </w:r>
    </w:p>
    <w:p>
      <w:r>
        <w:t>Adopts the following decision:</w:t>
      </w:r>
    </w:p>
    <w:p>
      <w:r>
        <w:t xml:space="preserve">1. The notified operation consists of the acquisition by the Legrand group, via its subsidiary Legrand  </w:t>
        <w:br/>
        <w:t xml:space="preserve">France, of exclusive control of the Cogelec group, active in the sector of intercom and access control solutions. The operation constitutes a concentration within the meaning of Article L. 430-1 of the  </w:t>
        <w:br/>
        <w:t>Commercial Code. Given the turnover achieved by the 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25-203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