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https://www.autoritedelaconcurrence.fr/fr/decision-de-controle-des-concentrations/relative-la-prise-de-controle-exclusif-du-groupe-cola-par</w:t>
      </w:r>
    </w:p>
    <w:p>
      <w:r>
        <w:t>Pages translated : 2</w:t>
      </w:r>
    </w:p>
    <w:p/>
    <w:p>
      <w:r>
        <w:rPr>
          <w:b/>
        </w:rPr>
        <w:t>[Pages 1–2]</w:t>
      </w:r>
    </w:p>
    <w:p>
      <w:r>
        <w:t xml:space="preserve">FRENCH REPUBLIC  </w:t>
        <w:br/>
        <w:t xml:space="preserve">Decision No. 23-DCC-65 of April 5, 2023  </w:t>
        <w:br/>
        <w:t xml:space="preserve">regarding the exclusive control acquisition of the Cola group by the Orfite group  </w:t>
        <w:br/>
        <w:t xml:space="preserve">The Competition Authority,  </w:t>
        <w:br/>
        <w:t xml:space="preserve">Having regard to the notification file submitted in full to the mergers department on March 20, 2023, concerning the exclusive control acquisition of the Cola group by the Orfite group through the intermediary of the Cola company, a holding to be established, formalized by an investment and transfer protocol signed on January 24, 2023;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the Orfite group of the Cola group, which is active in the market for flat closures. It constitutes a concentration operation within the meaning of Article L. 430-1 of the Commercial Code. Given the turnover achieved by the companies concerned,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23-030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