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https://www.autoritedelaconcurrence.fr/fr/decision-de-controle-des-concentrations/relative-la-prise-de-controle-exclusif-du-groupe-cold-par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22-DCC-114 of June 23, 2022</w:t>
        <w:br/>
        <w:t>regarding the exclusive control acquisition of the Cold group by the Sonepar group</w:t>
        <w:br/>
        <w:t>The Competition Authority,</w:t>
      </w:r>
    </w:p>
    <w:p>
      <w:r>
        <w:t>Having regard to the complete notification file submitted to the mergers department on May 17, 2022, concerning the acquisition of control of Cold &amp; Co, the parent company of the Cold group, by Sonepar France, the holding company of the French subsidiaries of the Sonepar group, formalized by an agreement dated April 29, 2022;</w:t>
      </w:r>
    </w:p>
    <w:p>
      <w:r>
        <w:t>Having regard to Book IV of the Commercial Code relating to the freedom of prices and competition, and in particular its Articles L. 430-1 to L. 430-7;</w:t>
      </w:r>
    </w:p>
    <w:p>
      <w:r>
        <w:t>Having regard to the additional elements provided by the notifying party during the investigation;</w:t>
      </w:r>
    </w:p>
    <w:p>
      <w:r>
        <w:t>Adopts the following decision:</w:t>
      </w:r>
    </w:p>
    <w:p>
      <w:r>
        <w:t>1. The notified operation consists of the exclusive control acquisition by the Sonepar group of Cold &amp; Co, which is active in the distribution of climate engineering products and their accessories. It constitutes a concentration operation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</w:r>
    </w:p>
    <w:p>
      <w:r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22-057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