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https://www.autoritedelaconcurrence.fr/fr/decision-de-controle-des-concentrations/relative-la-prise-de-controle-exclusif-du-groupe-condifresh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22-DCC-32 of March 15, 2022  </w:t>
        <w:br/>
        <w:t xml:space="preserve">regarding the exclusive control acquisition of the Condifresh group by the  </w:t>
        <w:br/>
        <w:t xml:space="preserve">company Terres de Talcy  </w:t>
        <w:br/>
        <w:t xml:space="preserve">The Competition Authority,  </w:t>
        <w:br/>
        <w:t xml:space="preserve">Having regard to the complete notification file sent to the mergers department on February 23, 2022  </w:t>
        <w:br/>
        <w:t xml:space="preserve">concerning the exclusive control acquisition of the Condifresh group by the company Terres de Talcy and  </w:t>
        <w:br/>
        <w:t xml:space="preserve">materialized by a firm and definitive offer dated November 10,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Terres de Talcy of  </w:t>
        <w:br/>
        <w:t xml:space="preserve">the company Canaveiras, holding of the Condifresh group. The target engages in purchasing,  </w:t>
        <w:br/>
        <w:t xml:space="preserve">packaging, and wholesale selling of organic and conventional agricultural products.  </w:t>
        <w:br/>
        <w:t xml:space="preserve">The operation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21-315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