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https://www.autoritedelaconcurrence.fr/fr/decision-de-controle-des-concentrations/relative-la-prise-de-controle-exclusif-du-groupe-confluent</w:t>
      </w:r>
    </w:p>
    <w:p>
      <w:r>
        <w:t>Pages translated : 14</w:t>
      </w:r>
    </w:p>
    <w:p/>
    <w:p>
      <w:r>
        <w:rPr>
          <w:b/>
        </w:rPr>
        <w:t>[Pages 1–3]</w:t>
      </w:r>
    </w:p>
    <w:p>
      <w:r>
        <w:t xml:space="preserve">FRENCH REPUBLIC  </w:t>
        <w:br/>
        <w:t xml:space="preserve">Decision No. 19-DCC-191 of October 30, 2019  </w:t>
        <w:br/>
        <w:t xml:space="preserve">regarding the exclusive control of the Confluent group by the Vivalto Santé group  </w:t>
        <w:br/>
        <w:t xml:space="preserve">The Competition Authority,  </w:t>
        <w:br/>
        <w:t xml:space="preserve">Having regard to the notification file submitted in full to the merger service on September 25, 2019, regarding the acquisition of the Confluent group by the Vivalto Santé group, formalized by a firm improved offer dated June 4, 2019, as well as an offer for the acquisition of real estate dated May 29, 2019;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Summary1  </w:t>
        <w:br/>
        <w:t xml:space="preserve">By this decision, the Authority examined the exclusive control of the Confluent group by the Vivalto Santé group.  </w:t>
        <w:br/>
        <w:t xml:space="preserve">The Confluent group owns two healthcare establishments located in Nantes, namely the Private Hospital of Confluent and the CCS chemotherapy center located within the Jules Vernes clinic. Vivalto Santé, for its part, is present in the Pays de la Loire region through three establishments, namely the Sainte-Marie Surgical Clinic in Châteaubriant (Loire Atlantique), the SA Polyclinic du Parc in Cholet (Maine-et-Loire), and the Polyclinic of Europe in Saint Nazaire (Loire Atlantique).  </w:t>
        <w:br/>
        <w:t xml:space="preserve">In terms of the competitive analysis, the Authority ruled out any risk of harm to competition through horizontal effects in the markets for healthcare and hospital diagnostics, both at the level of the Pays de la Loire region and the Loire Atlantique department, given the limited market shares of the parties. For the same reasons, it was able to rule out any risk of harm to competition in the market for cosmetic surgery for comfort at the national or regional level.  </w:t>
        <w:br/>
        <w:t xml:space="preserve">The risks of conglomerate effects were also ruled out as the new entity will not hold any ARS authorization in the Pays de la Loire region that another establishment or group of establishments would not hold.  </w:t>
        <w:br/>
        <w:t xml:space="preserve">Finally, the risk of strengthening a purchasing power can be ruled out since the new entity will represent less than 1% of hospital purchases in France.  </w:t>
        <w:br/>
        <w:t xml:space="preserve">In light of these elements, the Authority therefore authorized the notified operation.  </w:t>
        <w:br/>
        <w:t>1 This summary is strictly informative. Only the reasons for the decision numbered below are authoritative.</w:t>
      </w:r>
    </w:p>
    <w:p>
      <w:r>
        <w:t xml:space="preserve">I. The companies involved and the transaction  </w:t>
        <w:br/>
        <w:t xml:space="preserve">1. Vivalto Santé Investissement S.A. (hereinafter "Vivalto Santé") is a wholly-owned subsidiary of the French law company Vivalto Santé, which operates in the hospital sector through holdings in 31 private healthcare establishments. Vivalto Santé is indirectly owned, to the extent of [...] %, by Vivalto Santé Holding, which is jointly controlled by the Caisse des dépôts et consignations, via BpiFrance International Capital, Mubadala Investment* Company PJSC, via the company 41st Investment Company, and Vivalto International2.  </w:t>
        <w:br/>
        <w:t xml:space="preserve">2. The Caisse des dépôts et consignations (hereinafter "CDC") is a public institution created by the law of April 28, 1816, and governed by Articles L. 518-2 and following of the Monetary and Financial Code. Article L. 518-2 of the Monetary and Financial Code states that the CDC and its subsidiaries constitute a public group serving the general interest and the economic development of the country. This group fulfills missions of general interest in support of public policies conducted by the State and local authorities and may engage in competitive activities. It is placed "under the supervision and guarantee of the legislative authority."  </w:t>
        <w:br/>
        <w:t xml:space="preserve">3. The CDC includes among its subsidiaries the company Icade, which makes investments in the real estate sector, particularly in the acquisition of properties of healthcare establishments as part of partnerships with operating tenants through its subsidiary Icade Santé. In this capacity, Icade Santé has no operational activity in healthcare establishments and only invests in the properties of these establishments.  </w:t>
        <w:br/>
        <w:t xml:space="preserve">4. Mubadala Investment* Company PJSC (hereinafter "Mubadala") is an investment group wholly owned by the government of the Emirate of Abu Dhabi in the United Arab Emirates. Mubadala invests in numerous strategic sectors, such as energy, real estate, public-private partnerships, aerospace, industry, and services. To date, Mubadala does not hold any controlling interest in companies belonging to the hospital sector in France.  </w:t>
        <w:br/>
        <w:t xml:space="preserve">5. Vivalto International is a company under Luxembourg law, controlled by Mr. and Mrs. Caille. Vivalto International holds, indirectly, non-controlling interests in the sector of accommodation and care for the elderly, notably through the operation of EHPAD (Establishments for Dependent Elderly Persons) and in the sector of home care services.  </w:t>
        <w:br/>
        <w:t xml:space="preserve">6. The company Groupe Confluent (hereinafter, "Groupe Confluent") heads a group active in the hospital care sector. It operates in particular the Private Hospital of Confluent and the CCS chemotherapy center3, both located in Nantes in Loire-Atlantique (44). Groupe Confluent is currently owned by the company NCN Associés (hereinafter "NCNA"), directly ([…] %) and, indirectly, through the company E-Nov@e ([…] %).  </w:t>
        <w:br/>
        <w:t xml:space="preserve">7. The contemplated operation consists of the acquisition of exclusive control of Groupe Confluent by Vivalto Santé. Indeed, it is part of the restructuring of the group of companies whose holding is NCNA, to which Groupe Confluent belongs.  </w:t>
        <w:br/>
        <w:t xml:space="preserve">2 Decision of the European Commission M.7833 of December 14, 2015 CDC International Capital / Mubadala Development Company / Vivalto Bel / Group Vivalto Santé.  </w:t>
        <w:br/>
        <w:t xml:space="preserve">3 The CCS chemotherapy center is located within a third-party establishment, the Jules Vernes Clinic in Nantes.  </w:t>
        <w:br/>
        <w:t>* Correction of a material error.</w:t>
      </w:r>
    </w:p>
    <w:p>
      <w:r>
        <w:rPr>
          <w:b/>
        </w:rPr>
        <w:t>[Pages 4–6]</w:t>
      </w:r>
    </w:p>
    <w:p>
      <w:r>
        <w:t xml:space="preserve">8. As part of this transaction, Vivalto Santé has established a partnership with Icade Santé under which:  </w:t>
        <w:br/>
        <w:t xml:space="preserve">(i) initially, Icade Santé will acquire at least [...] % of the share capital, voting rights, and financial rights of the company NCNA and all its subsidiaries (including the SCI of Groupe Confluent in which the hospital real estate assets are housed);  </w:t>
        <w:br/>
        <w:t xml:space="preserve">(ii) immediately thereafter, NCNA will transfer to Vivalto its entire stake in Groupe Confluent as well as in E-Nov@e.  </w:t>
        <w:br/>
        <w:t xml:space="preserve">9. Icade Santé will thus retain the real estate assets of NCNA, while the operational activity of Groupe Confluent will be acquired, at the end of the transaction, by Vivalto Santé.  </w:t>
        <w:br/>
        <w:t xml:space="preserve">10. In accordance with point 72 of the guidelines of the Competition Authority regarding merger control, the transfer of the companies Groupe Confluent and E-Nov@e to Icade must be considered as transitional insofar as the subsequent transfer of these entities to Vivalto Santé has been agreed upon between the various acquirers in a legally binding manner as part of Vivalto Santé's improved firm offer dated June 4, 2019, and Icade Santé's offer dated May 29, 2019. Furthermore, there is no doubt regarding the promptness of the second transaction.  </w:t>
        <w:br/>
        <w:t xml:space="preserve">11. The companies involved together generate a total worldwide turnover excluding taxes of more than 150 million euros (Vivalto Santé Holding: [≥ 150 million] euros for the fiscal year ending December 31, 2018; Groupe Confluent: [≤ 150 million] euros for the same fiscal year). Each of these companies has generated in France a turnover exceeding 50 million euros (Vivalto Santé Holding: [≥ 50 million] euros for the fiscal year ending December 31, 2018; Groupe Confluent: [≥ 50 million]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Definition of the relevant markets  </w:t>
        <w:br/>
        <w:t xml:space="preserve">12. The transaction results in an overlap between the activities of the parties in the markets for the provision of diagnostics and hospital care, as well as in the market for cosmetic surgery for comfort, which are presented below.  </w:t>
        <w:br/>
        <w:t xml:space="preserve">4 The acquisition by Icade Santé of the real estate assets does not constitute a controllable concentration operation within the meaning of Article L. 430-2 of the Commercial Code since the turnover thresholds are not exceeded. Indeed, the real estate assets acquired by Icade Santé generated a turnover of [...] million euros in 2018.  </w:t>
        <w:br/>
        <w:t xml:space="preserve">5 The transaction also results in a limited vertical overlap between Icade Santé, a subsidiary of the CDC which, as a real estate investment trust, makes investments in the premises of healthcare establishments, and Groupe Confluent as the tenant. However, any risk of vertical effect can be ruled out, given the limited market shares of Icade Santé, which do not exceed 5% at the national level and 20% at the regional or departmental level (market shares estimated based on the number of hospital beds, after the transaction is completed).  </w:t>
        <w:br/>
        <w:t xml:space="preserve">A. THE SERVICE MARKETS  </w:t>
        <w:br/>
        <w:t xml:space="preserve">1. THE PROVISION OF DIAGNOSTICS AND HOSPITAL CARE  </w:t>
        <w:br/>
        <w:t xml:space="preserve">13. The Competition Authority and the European Court consider that in France, it is not relevant to distinguish the provision of diagnostics and hospital care based on whether it comes from private or public establishments. Indeed, the patient is free to choose their establishment, public or private, without economic consideration, as the reimbursement of care does not depend on the status of the establishment in which it was provided. Furthermore, the generalization to all public and private establishments of the funding method constituted by activity-based pricing (known as "T2A"), on the one hand, and patients' recourse to complementary insurance, on the other hand, tends to increase patients' freedom of choice regarding the establishment in which they wish to be treated. Moreover, whether public or private, hospital establishments are generally intended to accommodate all patients, without economic or social consideration. Finally, all hospital establishments are subject to a common legal framework that defines the conditions for exercising their activity. This is regulated at the regional level by the regional health agencies (hereinafter, "ARS"), with which they may enter into contracts for objectives and means and, at the national level, by the High Authority of Health (hereinafter, "HAS") which notably implements a certification system for healthcare establishments.  </w:t>
        <w:br/>
        <w:t xml:space="preserve">14. However, this market is segmented by type of activities to take into account the strong specialization of practitioners and the services of hospital establishments, as well as the necessity for a hospital establishment to obtain specific authorizations from the ARS for the exercise of certain medical or surgical specialties.  </w:t>
        <w:br/>
        <w:t xml:space="preserve">15. Competition authorities have thus considered a segmentation by "specialized activity groups" (hereinafter, "GAS"), corresponding to the major disciplines defined by the Public Health Code: medicine, surgery, obstetrics (hereinafter collectively, "MCO"), neonatology, psychiatry, follow-up and rehabilitation care (hereinafter, "SSR"), long-term care, oncology, diagnostic activities, emergencies, and resuscitation.  </w:t>
        <w:br/>
        <w:t xml:space="preserve">16. A narrower segmentation of these markets by "major diagnostic category" (hereinafter, "MDC") has also been considered according to the classification of procedures established by the medicalization program of information systems (hereinafter, "PMSI") implemented for activity-based pricing. This classification consists, according to the Technical Agency for Information  </w:t>
        <w:br/>
        <w:t xml:space="preserve">6 This is not the case in all Member States. Thus, the European Commission has identified a market for private hospital care in the United Kingdom (see European Commission decisions COMP/M.4367 of March 16, 2007 – APW/APSA/Nordic Capital/Capio and COMP/M.4788 of August 21, 2007 – Rozier/BHS).  </w:t>
        <w:br/>
        <w:t xml:space="preserve">7 Decisions of the Competition Authority No. 18-DCC-162 of October 15, 2018, regarding the exclusive control of the Capio group by Ramsay Générale de Santé, No. 17-DCC-95 of June 23, 2017, regarding the exclusive control of the MédiPôle Partenaires group by the Elsan group, No. 15-DCC-146 of October 26, 2015, regarding the exclusive control of Vitalia by Vedici Holding (CVC Capital Partners), letters from the Minister responsible for the economy C2007-91 to the board of the company Vitalia Développement 2, regarding a concentration in the sector of the provision of diagnostics and care in healthcare establishments, C2007-80 of July 24, 2007, to the board of the company Vitalia Développement 1, regarding a concentration in the sector of healthcare establishments in France, C2006-105 to the boards of the company Capio santé SA, regarding a concentration in the sector of the production of diagnostics and care in healthcare establishments of October 26, 2006, and the decisions of the European Commission COMP/M.7725 of August 28, 2015 – Vedici/Vitalia, COMP/M.7221 of April 24, 2014 – Bridgepoint Capital/Medipartenaires, and COMP/M.5805 of May 21, 2010 – 3i/Védici Groupe.  </w:t>
        <w:br/>
        <w:t xml:space="preserve">8 Ibid.  </w:t>
        <w:br/>
        <w:t xml:space="preserve">9 Ibid.  </w:t>
        <w:br/>
        <w:t xml:space="preserve">10 Ibid.  </w:t>
        <w:br/>
        <w:t>5</w:t>
      </w:r>
    </w:p>
    <w:p>
      <w:r>
        <w:t xml:space="preserve">on hospitalization (hereinafter, "ATIH"), to group MCO activity into 28 "major categories," of which 26 MDCs most often correspond to a "functional system."  </w:t>
        <w:br/>
        <w:t xml:space="preserve">17. The 26 MDCs (numbered from MDC 1 to MDC 23, plus MDC 25, 26, and 28) are as follows:  </w:t>
        <w:br/>
        <w:t xml:space="preserve">• MDC 1 diseases of the nervous system  </w:t>
        <w:br/>
        <w:t xml:space="preserve">• MDC 2 diseases of the eye  </w:t>
        <w:br/>
        <w:t xml:space="preserve">• MDC 3 diseases of the ears, nose, throat, mouth, and teeth  </w:t>
        <w:br/>
        <w:t xml:space="preserve">• MDC 4 diseases of the respiratory system  </w:t>
        <w:br/>
        <w:t xml:space="preserve">• MDC 5 diseases of the circulatory system  </w:t>
        <w:br/>
        <w:t xml:space="preserve">• MDC 6 diseases of the digestive tract  </w:t>
        <w:br/>
        <w:t xml:space="preserve">• MDC 7 diseases of the hepatobiliary system and pancreas  </w:t>
        <w:br/>
        <w:t xml:space="preserve">• MDC 8 diseases and injuries of the musculoskeletal system and connective tissue  </w:t>
        <w:br/>
        <w:t xml:space="preserve">• MDC 9 diseases of the skin, subcutaneous tissues, and breast  </w:t>
        <w:br/>
        <w:t xml:space="preserve">• MDC 10 endocrine, metabolic, and nutritional diseases  </w:t>
        <w:br/>
        <w:t xml:space="preserve">• MDC 11 diseases of the kidney and urinary tract  </w:t>
        <w:br/>
        <w:t xml:space="preserve">• MDC 12 diseases of the male reproductive system  </w:t>
        <w:br/>
        <w:t xml:space="preserve">• MDC 13 diseases of the female reproductive system  </w:t>
        <w:br/>
        <w:t xml:space="preserve">• MDC 14 pathological pregnancies, childbirth, and postpartum conditions  </w:t>
        <w:br/>
        <w:t xml:space="preserve">• MDC 15 newborns, premature infants, and conditions of the perinatal period  </w:t>
        <w:br/>
        <w:t xml:space="preserve">• MDC 16 diseases of the blood and hematopoietic organs  </w:t>
        <w:br/>
        <w:t xml:space="preserve">• MDC 17 myeloproliferative diseases and tumors of unspecified or diffuse sites  </w:t>
        <w:br/>
        <w:t xml:space="preserve">• MDC 18 infectious and parasitic diseases  </w:t>
        <w:br/>
        <w:t xml:space="preserve">• MDC 19 mental and behavioral disorders  </w:t>
        <w:br/>
        <w:t xml:space="preserve">• MDC 20 organic mental disorders related to drug use or induced by it  </w:t>
        <w:br/>
        <w:t xml:space="preserve">• MDC 21 injuries, allergies, and poisonings  </w:t>
        <w:br/>
        <w:t xml:space="preserve">• MDC 22 burns  </w:t>
        <w:br/>
        <w:t xml:space="preserve">• MDC 23 factors influencing health status and other reasons for using health services  </w:t>
        <w:br/>
        <w:t xml:space="preserve">• MDC 25 diseases due to HIV infection  </w:t>
        <w:br/>
        <w:t xml:space="preserve">• MDC 26 severe multiple injuries  </w:t>
        <w:br/>
        <w:t xml:space="preserve">• MDC 28 sessions  </w:t>
        <w:br/>
        <w:t xml:space="preserve">11 Founded in 2000, the Technical Agency for Information on Hospitalization is a public state institution of an administrative nature, placed under the supervision of the ministers responsible for health, social affairs, and social security.  </w:t>
        <w:br/>
        <w:t>12 Dialyses, chemotherapy, radiotherapy, transfusions, etc.</w:t>
      </w:r>
    </w:p>
    <w:p>
      <w:r>
        <w:rPr>
          <w:b/>
        </w:rPr>
        <w:t>[Pages 7–9]</w:t>
      </w:r>
    </w:p>
    <w:p>
      <w:r>
        <w:t xml:space="preserve">18. This segmentation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  </w:t>
        <w:br/>
        <w:t xml:space="preserve">19. Finally, a sub-segmentation of each MDC based on the presence or absence of a surgical act13 (hereinafter, "AO" in the presence of a surgical act and "ANO" in the absence of a surgical act) has also been considered. This sub-segmentation allows for a better understanding of the increased differentiation between public and private establishments, due to the greater specialization of private establishments in surgical activity.  </w:t>
        <w:br/>
        <w:t xml:space="preserve">20. The competition authorities have also questioned the existence of distinct markets, on the one hand, for home hospitalization services and, on the other hand, for the provision of dialysis care14. However, regarding dialysis activities, it follows from European decision-making practice that this type of care cannot be distinguished from other comparable hospital care offerings. Furthermore, the Competition Authority has considered a distinct segment of care services falling under MDC 28 (sessions), to which dialysis care belongs.  </w:t>
        <w:br/>
        <w:t xml:space="preserve">21. In any case, the question of the exact definition of the markets for diagnostic and hospital care services can be left open, insofar as the conclusions of the competitive analysis remain unchanged, regardless of the delineation adopted.  </w:t>
        <w:br/>
        <w:t xml:space="preserve">2. COSMETIC SURGERY FOR COMFORT  </w:t>
        <w:br/>
        <w:t xml:space="preserve">22. The Social Security Code defines cosmetic surgery activity, sometimes referred to as "comfort," distinct from diagnostics and hospital care, which gives rise to billing, without coverage by mandatory social security schemes.  </w:t>
        <w:br/>
        <w:t xml:space="preserve">23. The Competition Authority has considered that this market includes all activities of cosmetic surgery for comfort, whether carried out within health establishments, autonomous cosmetic surgery centers, or in private practice15.  </w:t>
        <w:br/>
        <w:t xml:space="preserve">24. In any case, the question of the existence of a market for cosmetic surgery for comfort can be left open, insofar as the conclusions of the competitive analysis remain unchanged, regardless of the delineation adopted.  </w:t>
        <w:br/>
        <w:t xml:space="preserve">B. GEOGRAPHICAL MARKETS  </w:t>
        <w:br/>
        <w:t xml:space="preserve">1. THE OFFER OF DIAGNOSTICS AND HOSPITAL CARE  </w:t>
        <w:br/>
        <w:t xml:space="preserve">25. The European Commission believes that the markets for the offer of diagnostics and hospital care can be of a local dimension, corresponding to areas accessible within thirty minutes by car16.  </w:t>
        <w:br/>
        <w:t xml:space="preserve">26. The Competition Authority, taking into account the regulatory instruments used by the ARS, considers that the markets for the offer of diagnostics and hospital care can be of a local, departmental17, or regional dimension. This scope is particularly dependent on the specialty concerned18. The Competition Authority has, in particular, noted that the size of the areas from which patients come can vary, not only depending on the establishment and the medical-surgical specialties practiced there, but also depending on the region considered, its population density, and its level of equipment in hospital care establishments. Finally, the coverage by health insurance of transportation costs incurred by certain patients tends to increase their willingness to travel for care.  </w:t>
        <w:br/>
        <w:t xml:space="preserve">27. The Competition Authority has thus examined, on a case-by-case basis, the travel times between the hospital care establishments of the parties to a concentration. It has notably observed that patients generally travel for a time ranging from 30 minutes to one hour in the departments of Var, Aude19, and Pas-de-Calais20, as well as in the former Limousin region. Regarding the Île-de-France region, the Competition Authority has considered it to constitute a unique geographical market21. It noted, in fact, that it is characterized by very significant patient mobility, particularly given the extensive offer of hospital care establishments and the existence of regional, or even national, attraction centers.  </w:t>
        <w:br/>
        <w:t xml:space="preserve">28. In its decision-making practice22, the Competition Authority first analyzed the effects of the operation at the regional level (in the sense of administrative regions before the adoption of the territorial reform law of 2015) and departmental level. Then, for the areas where, due to the concentration, the position of the new entity reached 50% in at least one market or segment defined above, the geographical delineation was refined to reflect the reality of the journeys made by patients. The competitive analysis was thus supplemented by examining the effects of the operation in areas corresponding to a thirty-minute radius and a one-hour radius by car around the target establishments, regardless of the region concerned.  </w:t>
        <w:br/>
        <w:t xml:space="preserve">29. There is no need to challenge the geographical definition of the markets for the offer of diagnostics and hospital care that has been retained in the aforementioned decision-making practice.  </w:t>
        <w:br/>
        <w:t xml:space="preserve">30. In this case, the activities of the parties overlap in the Pays de la Loire region and in the Loire-Atlantique department. However, the new entity does not hold a market share exceeding 50% at the regional or departmental level, regardless of the market or segment considered, so that a complementary local analysis is not necessary in the absence, in particular, of elements in the instruction that could reveal an infra-departmental dimension of the markets concerned (spontaneous contribution from third parties, market test, etc.).  </w:t>
        <w:br/>
        <w:t xml:space="preserve">17 The department generally corresponds to the scope of the new "territories of health democracy" defined by the ARS, which replace health territories since the entry into force of law no. 2016-41 of January 26, 2016, modernizing the health system.  </w:t>
        <w:br/>
        <w:t xml:space="preserve">18 Decisions no. 18-DCC-162, no. 17-DCC-95, and no. 15-DCC-146 cited above.  </w:t>
        <w:br/>
        <w:t xml:space="preserve">19 Decision of the Competition Authority no. 14-DCC-79 of June 11, 2014, regarding the exclusive control of the Médi-Partenaires group by the Bridgepoint group.  </w:t>
        <w:br/>
        <w:t xml:space="preserve">20 Decision of the Competition Authority no. 15-DCC-155 of November 30, 2015, regarding the exclusive control of Hôpital Privé Métropole by Compagnie Générale de Santé.  </w:t>
        <w:br/>
        <w:t xml:space="preserve">21 Decisions of the Competition Authority no. 14-DCC-79 cited above and no. 14-DCC-141 of September 24, 2014, regarding the joint control of Générale de Santé by Ramsay Health Care and Predica (Crédit Agricole Group).  </w:t>
        <w:br/>
        <w:t xml:space="preserve">22 Decisions no. 18-DCC-162 and no. 17-DCC-95 cited above.  </w:t>
        <w:br/>
        <w:t xml:space="preserve">2. COSMETIC SURGERY FOR COMFORT  </w:t>
        <w:br/>
        <w:t xml:space="preserve">31. The Competition Authority has considered at least a regional dimension for this market23. Indeed, given the generally high price of cosmetic surgery operations for comfort (which includes hospitalization fees and practitioners' fees), the scheduled nature of the interventions, and the importance of practitioners' reputation, the distance patients are willing to travel is longer than for diagnostic and hospital care services.  </w:t>
        <w:br/>
        <w:t xml:space="preserve">32. In any case, the question of the exact definition of the market for cosmetic surgery for comfort can be left open, insofar as the conclusions of the competitive analysis remain unchanged, regardless of the delineation adopted.  </w:t>
        <w:br/>
        <w:t xml:space="preserve">III. Competitive Analysis  </w:t>
        <w:br/>
        <w:t xml:space="preserve">A. SPECIFICITIES OF THE HEALTH SECTOR  </w:t>
        <w:br/>
        <w:t xml:space="preserve">1. CALCULATION OF THE POSITIONS OF GROUPS OF HOSPITAL CARE ESTABLISHMENTS  </w:t>
        <w:br/>
        <w:t xml:space="preserve">33. To estimate the positions of the new entity in the markets for hospital care and diagnostics, the notifying party used the public national database of the PMSI of the ATIH, which compiles statistics from French health establishments. The positions were calculated in terms of the number of stays, in accordance with the decision-making practice of the Competition Authority.  </w:t>
        <w:br/>
        <w:t xml:space="preserve">34. This method has been applied to both private and public hospital care establishments.  </w:t>
        <w:br/>
        <w:t xml:space="preserve">2. ANTICOMPETITIVE EFFECTS THAT MAY RESULT FROM AN EXCESSIVE CONCENTRATION OF HOSPITAL CARE AND DIAGNOSTIC OFFER  </w:t>
        <w:br/>
        <w:t xml:space="preserve">35. Health is a sector that presents very specific, sometimes complex, economic and regulatory operating modalities, in which the implementation of competition rules must be adapted to existing specificities. The forms of competition between health establishments and the assessment of the effect of their concentration on the functioning of unregulated markets have therefore been analyzed in light of the protection of patient welfare, but also the interests of practitioners who offer their services to health establishments and the performance of the current regulatory system for hospital care and diagnostics in France, in accordance with the decision-making practice of the Competition Authority in this sector24.  </w:t>
        <w:br/>
        <w:t xml:space="preserve">23 Ibid.  </w:t>
        <w:br/>
        <w:t>24 Decisions no. 18-DCC-162 and no. 17-DCC-95 cited above.</w:t>
      </w:r>
    </w:p>
    <w:p>
      <w:r>
        <w:rPr>
          <w:b/>
        </w:rPr>
        <w:t>[Pages 10–12]</w:t>
      </w:r>
    </w:p>
    <w:p>
      <w:r>
        <w:t xml:space="preserve">a) The types of potential effects  </w:t>
        <w:br/>
        <w:t xml:space="preserve">(i) Price effects  </w:t>
        <w:br/>
        <w:t xml:space="preserve">36. The examination of the horizontal effects of a concentration in the healthcare and hospital diagnostics sector must take into account the specific pricing mechanisms and the existence of particularities inherent to the French healthcare system. Indeed, the prices of healthcare services provided by public and private establishments are regulated and set annually at the national level, within the framework of the activity-based pricing system (T2A). Each healthcare activity corresponds to a flat-rate price for the service that the establishment can charge. Healthcare establishments do not have the ability to deviate from these prices. Consequently, private clinics cannot, due to the applicable regulatory framework, unilaterally increase the price of the contracted care services they provide. These flat-rate prices concern the vast majority of healthcare services.  </w:t>
        <w:br/>
        <w:t xml:space="preserve">37. The pricing of ancillary services (known as "hotel" services) is, however, freely determined by healthcare establishments. These services are defined in Article R. 162-27 of the Social Security Code and include: the private room supplement, accommodation and meals for companions, television, telephone, and exceptional services. An excessive concentration of healthcare establishments in a relevant geographical area is therefore likely to lead to an increase in the prices of these services, to the detriment of patients.  </w:t>
        <w:br/>
        <w:t xml:space="preserve">38. The holding by the same group of market shares exceeding 50% in at least two MDCs is likely to encourage the new entity to raise the price of ancillary services. This analytical criterion, which also allows for the understanding of strong positions on the GAS, is consistent with the decision-making practice of the Competition Authority in the healthcare sector, where it has considered that holding a very strong position in a single MDC is not, by itself, constitutive of market power.  </w:t>
        <w:br/>
        <w:t xml:space="preserve">(ii) Effects on the quality and diversity of services  </w:t>
        <w:br/>
        <w:t xml:space="preserve">39. The ARS, which grant activity authorizations, carry out inspection-control missions regarding the conditions of installation and operation of healthcare activities, which may result in injunctions for compliance, suspension, or withdrawal of the authorization, under the conditions provided for in Article L. 6122-13 of the Public Health Code. Furthermore, the HAS conducts certification of healthcare establishments every four to six years to assess the quality of services provided by hospitals and clinics in France. Thus, the possibility of degrading the quality of care following the operation appears limited by the existence of these safeguards.  </w:t>
        <w:br/>
        <w:t xml:space="preserve">40. However, the Competition Authority considers that a company holding significant positions in at least two MDCs is likely to degrade the quality of the healthcare offer, being incentivized to reorganize its services among the establishments it owns. A hospital group may thus be encouraged to concentrate its activity in the MDCs generating the largest volumes of activity to achieve synergies. This reallocation of resources is likely to be carried out to the detriment of the MDCs in which the group's activity is the least significant, potentially leading to service closures, which would reduce the diversity of care offered to patients in the same geographical area.  </w:t>
        <w:br/>
        <w:t xml:space="preserve">(iii) Conglomerate effects  </w:t>
        <w:br/>
        <w:t xml:space="preserve">41. Healthcare authorizations are granted by the ARS and do not necessarily cover the MDCs. Some are related. Practitioners can distribute their activity among several establishments by primarily practicing in one establishment for one activity and secondarily in another establishment for a related activity. A concentration operation, by bringing together within the same group several related healthcare activity authorizations, is likely to encourage a hospital group to condition the ability for practitioners primarily linked to a third establishment to exercise or continue exercising part of their activity within one of its establishments on the termination of the main practice contract. This behavior would allow a hospital group, which holds strong positions linked to the holding of several activity authorizations, to "capture" practitioners from competing establishments, which is likely to threaten the attractiveness and viability of these establishments and, ultimately, reduce the alternatives available to patients in a given territory.  </w:t>
        <w:br/>
        <w:t xml:space="preserve">B. HORIZONTAL EFFECTS  </w:t>
        <w:br/>
        <w:t xml:space="preserve">1. THE OFFER OF HEALTHCARE AND HOSPITAL DIAGNOSTICS  </w:t>
        <w:br/>
        <w:t xml:space="preserve">42. In this case, the operation leads to overlaps in activity between the parties in the Pays de la Loire region and, more specifically, in the Loire Atlantique department.  </w:t>
        <w:br/>
        <w:t xml:space="preserve">43. Indeed, Vivalto Santé is present in this region through three establishments, namely the Clinique Chirurgicale Sainte-Marie in Châteaubriant (Loire Atlantique), the Polyclinique du Parc in Cholet (Maine-et-Loire), and the Polyclinique de l’Europe in Saint-Nazaire (Loire Atlantique), the latter being in the process of acquisition at the date of notification of this operation.  </w:t>
        <w:br/>
        <w:t xml:space="preserve">44. Groupe Confluent, for its part, owns two healthcare establishments in Nantes (Loire Atlantique): the Hôpital Privé du Confluent and the CCS chemotherapy center located within the Jules Vernes clinic, belonging to the Hospi Grand Ouest group.  </w:t>
        <w:br/>
        <w:t xml:space="preserve">At the level of the Pays de la Loire region  </w:t>
        <w:br/>
        <w:t xml:space="preserve">45. Given their respective activities, the activities of the parties overlap only on the following GAS: medicine, surgery, endoscopy, and chemo-radiotherapy. However, regardless of the GAS examined, the positions of the new entity at the regional level are less than or equal to 25%.  </w:t>
        <w:br/>
        <w:t xml:space="preserve">46. If a narrower segmentation by MDC is considered, the activities of the parties overlap on the following MDCs: MDC 1 to 13, 16 to 26, and 28. However, regardless of the MDCs considered, the market shares of the new entity are, again, less than 25%. Furthermore, this analysis is not modified in the event of a sub-segmentation between surgical and non-surgical procedures.  </w:t>
        <w:br/>
        <w:t xml:space="preserve">47. Consequently, the operation is not likely to harm competition through horizontal effects at the regional level.  </w:t>
        <w:br/>
        <w:t xml:space="preserve">At the level of the Loire Atlantique department  </w:t>
        <w:br/>
        <w:t xml:space="preserve">48. At the departmental level, the position of the new entity is below 25%, regardless of the GAS examined, except for endoscopy. For this last activity group, the market share of the new entity is estimated by the Parties to be [30-40]% (Vivalto Santé: [10-20]%; Groupe Confluent: [10-20]%).  </w:t>
        <w:br/>
        <w:t xml:space="preserve">49. If a narrower segmentation by MDC is considered, the positions of the new entity are below 50% for any segment considered. Its strongest positions concern MDC 5 "Diseases of the respiratory system." For this MDC, the market shares of the new entity are estimated at [30-40]% overall (Vivalto Santé: [5-10]%; Groupe Confluent: [20-30]%), at [30-40]% for surgical procedures only (Vivalto Santé: [5-10]%; Groupe Confluent: [20-30]%), and at [30-40]% for non-surgical procedures only (Vivalto Santé: [5-10]%; Groupe Confluent: [20-30]%).  </w:t>
        <w:br/>
        <w:t xml:space="preserve">50. In any case, there is a significant number of active competitors at the departmental level in MDC 5, particularly the CHU de Nantes, whose market share is estimated by the parties to be [40-50]%.  </w:t>
        <w:br/>
        <w:t xml:space="preserve">51. Consequently, the operation is not likely to harm competition through horizontal effects in the market for healthcare and hospital diagnostics in the Loire Atlantique department.  </w:t>
        <w:br/>
        <w:t xml:space="preserve">2. COSMETIC SURGERY FOR COMFORT  </w:t>
        <w:br/>
        <w:t xml:space="preserve">52. The notifying party estimates that the market share of Groupe Confluent in the market for cosmetic surgery for comfort in terms of the number of procedures is less than 1% at the national level.  </w:t>
        <w:br/>
        <w:t xml:space="preserve">53. It specifies, however, that it is unable to provide the market share of Vivalto Santé in the market for cosmetic surgery for comfort in terms of the number of procedures or the number of practitioners, as this market is "out of nomenclature" and that surgical procedures are not billed by Vivalto Santé, but directly to patients by the practitioners.  </w:t>
        <w:br/>
        <w:t xml:space="preserve">54. In any case, regardless of the method of calculating market shares adopted, the notifying party estimates that the cumulative market share of the new entity does not exceed 1%, whether at the national level or at the level of the Pays de la Loire region.  </w:t>
        <w:br/>
        <w:t>55. Consequently, the operation is not likely to harm competition through horizontal effects in the markets for cosmetic surgery for comfort.</w:t>
      </w:r>
    </w:p>
    <w:p>
      <w:r>
        <w:rPr>
          <w:b/>
        </w:rPr>
        <w:t>[Pages 13–14]</w:t>
      </w:r>
    </w:p>
    <w:p>
      <w:r>
        <w:t xml:space="preserve">C. CONGLOMERATE EFFECTS  </w:t>
        <w:br/>
        <w:t xml:space="preserve">56. A concentration has conglomerate effects when the new entity extends or strengthens its presence in several markets whose connection may allow it to increase its market power. Generally, such effects are analyzed when a concentration operation extends or strengthens the presence of a new entity in several distinct markets that are considered related. These effects can also be analyzed when the strengthening of a new entity's position occurs in the same market, but it is a market of sufficiently differentiated products such that, on the one hand, a leveraging effect can be exercised from one of them and, on the other hand, the same customers regularly purchase more than one product within this product range. While conglomerate concentrations can generally generate pro-competitive synergies, some may nonetheless produce restrictive effects on competition when they allow for the technical or commercial tying of the sales or purchases of the components of the grouping in such a way as to lock the market and exclude competitors.  </w:t>
        <w:br/>
        <w:t xml:space="preserve">57. The decision-making practice of competition authorities generally considers that a risk of conglomerate effect can be ruled out as long as the market share of the entity resulting from the operation in the relevant markets does not exceed 30%.  </w:t>
        <w:br/>
        <w:t xml:space="preserve">58. This type of effect could apply to the healthcare sector if one considers that hospital establishments compete to attract the "best" practitioners (in terms of reputation, competence, specialization, etc.) and that holding the sole care authorization for a given activity in the area and a portfolio of related care activity authorizations can serve as leverage to condition a practitioner's practice in one establishment on the abandonment of their practice in a third hospital establishment. Such a strategy would have the effect of strengthening the reputation and volume of activity of one hospital establishment, to the detriment of other establishments located in the same territory, at the risk of excluding them. This capture of practitioners from hospital establishments is therefore likely, in the long term, to reduce the alternatives offered to patients in a relevant territory.  </w:t>
        <w:br/>
        <w:t xml:space="preserve">59. In this case, the new entity will not, regardless of the geographical area concerned, be the only operator holding a specific authorization to provide a certain type of care. Indeed, the parties do not hold any ARS authorization in the Pays de la Loire region that another establishment or group of establishments would not hold. Furthermore, other private clinics and public establishments hold the same care activity authorizations as the parties, regardless of the geographical area concerned.  </w:t>
        <w:br/>
        <w:t xml:space="preserve">60. In this case, the operation is therefore not likely to bring together, within the same group, several related care activity authorizations, which form a portfolio that third establishments, in certain territories, would not hold.  </w:t>
        <w:br/>
        <w:t xml:space="preserve">61. Consequently, the operation is not likely to harm competition through conglomerate effects.  </w:t>
        <w:br/>
        <w:t xml:space="preserve">D. THE RISK OF CREATING OR STRENGTHENING PURCHASING POWER  </w:t>
        <w:br/>
        <w:t xml:space="preserve">62. A concentration operation may harm competition by strengthening purchasing power that places suppliers in a situation of economic dependence.  </w:t>
        <w:br/>
        <w:t xml:space="preserve">63. In this case, the main suppliers of Vivalto Santé and Groupe Confluent are companies providing healthcare solutions and medical equipment such as [confidential].  </w:t>
        <w:br/>
        <w:t xml:space="preserve">64. However, the notifying party estimates that the market share of the new entity in the total hospital purchases in France is approximately [0-5]%, regardless of the segmentation considered for the markets supplying hospital establishments.  </w:t>
        <w:br/>
        <w:t xml:space="preserve">65. Furthermore, many pharmaceutical or equipment suppliers are global groups and therefore have a very significant economic weight in relation to the position of the new entity.  </w:t>
        <w:br/>
        <w:t xml:space="preserve">66. Consequently, the operation is not likely to create or strengthen purchasing power, or to place suppliers in a state of economic dependence, in the relevant markets.  </w:t>
        <w:br/>
        <w:t xml:space="preserve">DECIDES  </w:t>
        <w:br/>
        <w:t xml:space="preserve">Single Article: The operation notified under number 19-222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