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https://www.autoritedelaconcurrence.fr/fr/decision-de-controle-des-concentrations/relative-la-prise-de-controle-exclusif-du-groupe-courlancy</w:t>
      </w:r>
    </w:p>
    <w:p>
      <w:r>
        <w:t>Pages translated : 10</w:t>
      </w:r>
    </w:p>
    <w:p/>
    <w:p>
      <w:r>
        <w:rPr>
          <w:b/>
        </w:rPr>
        <w:t>[Pages 1–3]</w:t>
      </w:r>
    </w:p>
    <w:p>
      <w:r>
        <w:t>FRENCH REPUBLIC</w:t>
        <w:br/>
        <w:t>Decision No. 19-DCC-205 of October 30, 2019</w:t>
        <w:br/>
        <w:t>regarding the exclusive control of the Courlancy group by the</w:t>
        <w:br/>
        <w:t>Saint Gatien group</w:t>
        <w:br/>
        <w:t>The Competition Authority,</w:t>
        <w:br/>
        <w:t>Having regard to the notification file submitted in full to the merger service on</w:t>
        <w:br/>
        <w:t>September 26, 2019, concerning the exclusive control of the company SA Polyclinique de</w:t>
        <w:br/>
        <w:t>Courlancy by the company Holding Saint Gatien, formalized by an investment protocol</w:t>
        <w:br/>
        <w:t>signed on September 17, 2019;</w:t>
        <w:br/>
        <w:t>Having regard to Book IV of the Commercial Code relating to the freedom of prices and competition, and</w:t>
        <w:br/>
        <w:t>notably its Articles L. 430-1 to L. 430-7;</w:t>
        <w:br/>
        <w:t>Having regard to the supplementary elements transmitted by the notifying party during the investigation;</w:t>
        <w:br/>
        <w:t>Adopts the following decision:</w:t>
        <w:br/>
        <w:t>I. The concerned companies and the operation</w:t>
        <w:br/>
        <w:t>1. Holding Saint Gatien (hereinafter, "Saint Gatien group") is a public limited company under</w:t>
        <w:br/>
        <w:t>French law not controlled within the meaning of merger control. It is active in the sector</w:t>
        <w:br/>
        <w:t>of diagnostics and care provision and operates seventeen care establishments in France,</w:t>
        <w:br/>
        <w:t>particularly in the Île-de-France, Centre-Val de Loire, Pays de la Loire,</w:t>
        <w:br/>
        <w:t>Nouvelle Aquitaine, and Provence Alpes Côte d'Azur regions.</w:t>
        <w:br/>
        <w:t>2. SA Polyclinique de Courlancy (hereinafter, "Courlancy group") is a public limited company under</w:t>
        <w:br/>
        <w:t>French law not controlled within the meaning of merger control. It is also active</w:t>
        <w:br/>
        <w:t>in the sector of diagnostics and care provision and operates four care establishments</w:t>
        <w:br/>
        <w:t>in France, located in the Hauts-de-France and Grand Est regions.</w:t>
        <w:br/>
        <w:t>3. The operation consists of the acquisition of 51% of the capital and voting rights of the Courlancy group by the Saint Gatien group. As it results in the exclusive control</w:t>
        <w:br/>
        <w:t>of the Courlancy group by the Saint Gatien group, the operation constitutes a</w:t>
        <w:br/>
        <w:t>concentration operation within the meaning of Article L. 430-1 of the Commercial Code.</w:t>
      </w:r>
    </w:p>
    <w:p>
      <w:r>
        <w:t>4. The companies concerned together achieve a total worldwide turnover excluding taxes of more than 150 million euros (Saint Gatien group: [≥ 150 million] euros for the fiscal year ending December 31, 2018; Courlancy group: [≥ 150 million] euros for the same fiscal year). Each of these companies achieved its entire turnover in France.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II. Definition of Relevant Markets</w:t>
        <w:br/>
        <w:t>5. The operation results in an overlap of activity between the parties in the markets for the provision of hospital diagnostics and care1.</w:t>
        <w:br/>
        <w:t>A- THE SERVICE MARKETS</w:t>
        <w:br/>
        <w:t>6. Competition authorities consider that in France2, it is not relevant to distinguish</w:t>
        <w:br/>
        <w:t>the supply based on whether it comes from private or public establishments3. Indeed, the patient is free to</w:t>
        <w:br/>
        <w:t>choose their establishment, public or private, without economic consideration, as long as</w:t>
        <w:br/>
        <w:t>the reimbursement of care does not depend on the status of the establishment in which it was provided. Furthermore, the generalization to all public and private establishments of the financing mode constituted by activity-based pricing (known as "T2A"), on the one hand, and the patients' recourse to complementary insurance, on the other hand, tends to increase the</w:t>
        <w:br/>
        <w:t>freedom of choice for patients regarding the establishment in which they wish to be treated. Moreover, whether public or private, hospital establishments are generally intended to welcome all patients, without economic or social consideration. Finally, all hospital establishments are subject to a common legal framework that defines</w:t>
        <w:br/>
        <w:t>the conditions for exercising their activity. This is regulated at the regional level by the</w:t>
        <w:br/>
        <w:t>regional health agencies (hereinafter, "ARS"), with which they may conclude contracts for objectives and means and, at the national level, by the High Authority of Health (hereinafter, "HAS") which notably implements a certification system for health establishments.</w:t>
        <w:br/>
        <w:t>1 The parties are also active in a potential market for comfort aesthetic surgery. However, their activities do not overlap in this market, regardless of the geographical delimitation considered.</w:t>
        <w:br/>
        <w:t>2 This is not the case in all Member States. Thus, the European Commission has identified a market for private hospital care in the United Kingdom (see European Commission decisions COMP/M.4367 of March 16, 2007 – APW/APSA/Nordic Capital/Capio and COMP/M.4788 of August 21, 2007 – Rozier/BHS).</w:t>
        <w:br/>
        <w:t>3 See the decisions of the Competition Authority No. 18-DCC-162 of October 15, 2018, regarding the exclusive control of the Capio group by Ramsay Générale de Santé, No. 17-DCC-95 of June 23, 2017, regarding the exclusive control of the MédiPôle Partenaires group by the Elsan group, and No. 15-DCC-146 of October 26, 2015, regarding the exclusive control of Vitalia by Vedici Holding (CVC Capital Partners), the letters from the Minister responsible for the economy C2007-91 to the board of the Vitalia Développement 2 company, regarding a concentration in the sector of diagnostics and care provision in health establishments, C2007-80 of July 24, 2007, to the board of the Vitalia Développement 1 company, regarding a concentration in the sector of care establishments in France; C2006-105 to the boards of the Capio santé SA company, regarding a concentration in the sector of diagnostics and care production in health establishments of October 26, 2006, and the decisions of the European Commission COMP/M.7725 of August 28, 2015 – Vedici/Vitalia; COMP/M.7221 of April 24, 2014 – Bridgepoint Capital/Medipartenaires, and COMP/M.5805 of May 21, 2010 – 3i/Védici Groupe.</w:t>
      </w:r>
    </w:p>
    <w:p>
      <w:r>
        <w:t>7. This market is, however, segmented by type of activity to take into account the strong</w:t>
        <w:br/>
        <w:t>specialization of practitioners and services of hospital establishments, as well as the</w:t>
        <w:br/>
        <w:t>necessity for a hospital establishment to obtain specific authorizations from the ARS for the practice of certain medical or surgical specialties4.</w:t>
        <w:br/>
        <w:t>8. The competition authorities have thus considered a segmentation by "specialized activity groups" (hereinafter, "GAS"), corresponding to the major disciplines defined by the Public Health Code: medicine, surgery, obstetrics (hereinafter collectively, "MCO"),</w:t>
        <w:br/>
        <w:t>neonatology, psychiatry, follow-up and rehabilitation care (hereinafter, "SSR"), long-term care, oncology, diagnostic activities, emergencies, and resuscitation5.</w:t>
        <w:br/>
        <w:t>9. A narrower segmentation of these markets by "major diagnostic category" (hereinafter, "CMD") has also been considered according to the classification of acts established by the medicalization program of information systems (hereinafter, "PMSI") implemented for activity-based pricing6. This classification consists, according to the Technical Agency for Information on Hospitalization (hereinafter, "ATIH")7, of grouping MCO activity into 28 "major categories," of which 26 CMD most often correspond to a "functional system."</w:t>
        <w:br/>
        <w:t>10. The 26 CMD (numbered from CMD 1 to CMD 23, plus CMD 25, 26, and 28) are as follows:</w:t>
        <w:br/>
        <w:t>• CMD 1 diseases of the nervous system</w:t>
        <w:br/>
        <w:t>• CMD 2 diseases of the eye</w:t>
        <w:br/>
        <w:t>• CMD 3 diseases of the ears, nose, throat, mouth, and teeth</w:t>
        <w:br/>
        <w:t>• CMD 4 diseases of the respiratory system</w:t>
        <w:br/>
        <w:t>• CMD 5 diseases of the circulatory system</w:t>
        <w:br/>
        <w:t>• CMD 6 diseases of the digestive tract</w:t>
        <w:br/>
        <w:t>• CMD 7 diseases of the hepatobiliary system and pancreas</w:t>
        <w:br/>
        <w:t>• CMD 8 diseases and injuries of the musculoskeletal system and connective tissue</w:t>
        <w:br/>
        <w:t>• CMD 9 diseases of the skin, subcutaneous tissues, and breasts</w:t>
        <w:br/>
        <w:t>• CMD 10 endocrine, metabolic, and nutritional diseases</w:t>
        <w:br/>
        <w:t>• CMD 11 diseases of the kidney and urinary tract</w:t>
        <w:br/>
        <w:t>• CMD 12 diseases of the male reproductive system</w:t>
        <w:br/>
        <w:t>• CMD 13 diseases of the female reproductive system</w:t>
        <w:br/>
        <w:t>• CMD 14 pathological pregnancies, childbirth, and postpartum conditions</w:t>
        <w:br/>
        <w:t>• CMD 15 newborns, premature infants, and conditions of the perinatal period</w:t>
        <w:br/>
        <w:t>4 Ibid.</w:t>
        <w:br/>
        <w:t>5 Ibid.</w:t>
        <w:br/>
        <w:t>6 See, for example, decisions No. 18-DCC-162 and No. 15-DCC-146 and the aforementioned letter C2006-105.</w:t>
        <w:br/>
        <w:t>7 Established in 2000, the Technical Agency for Information on Hospitalization is a public administrative institution under the supervision of the ministers responsible for health, social affairs, and social security.</w:t>
      </w:r>
    </w:p>
    <w:p>
      <w:r>
        <w:rPr>
          <w:b/>
        </w:rPr>
        <w:t>[Pages 4–6]</w:t>
      </w:r>
    </w:p>
    <w:p>
      <w:r>
        <w:t xml:space="preserve">• CMD 16 diseases of the blood and hematopoietic organs  </w:t>
        <w:br/>
        <w:t xml:space="preserve">• CMD 17 myeloproliferative disorders and tumors of imprecise or diffuse location  </w:t>
        <w:br/>
        <w:t xml:space="preserve">• CMD 18 infectious and parasitic diseases  </w:t>
        <w:br/>
        <w:t xml:space="preserve">• CMD 19 mental diseases and disorders  </w:t>
        <w:br/>
        <w:t xml:space="preserve">• CMD 20 organic mental disorders related to drug absorption or induced by them  </w:t>
        <w:br/>
        <w:t xml:space="preserve">• CMD 21 injuries, allergies, and poisonings  </w:t>
        <w:br/>
        <w:t xml:space="preserve">• CMD 22 burns  </w:t>
        <w:br/>
        <w:t xml:space="preserve">• CMD 23 factors influencing health status and other reasons for seeking health services  </w:t>
        <w:br/>
        <w:t xml:space="preserve">• CMD 25 diseases due to HIV infection  </w:t>
        <w:br/>
        <w:t xml:space="preserve">• CMD 26 severe multiple injuries  </w:t>
        <w:br/>
        <w:t xml:space="preserve">• CMD 28 sessions8  </w:t>
        <w:br/>
        <w:t xml:space="preserve">11. This segmentation allows for distinguishing all medical acts performed within hospital establishments according to both medical and functional criteria, taking into account the parts of the body treated, and economic criteria, with stays or admissions classified in the same group involving the use of similar resources.  </w:t>
        <w:br/>
        <w:t xml:space="preserve">12. Finally, a sub-segmentation of each CMD based on the presence or absence of a surgical act9 (hereinafter, "AO" in the presence of a surgical act and "ANO" in the absence of a surgical act) has also been considered. This sub-segmentation allows for a better understanding of the increased differentiation between public and private establishments, due to the greater specialization of private establishments in surgical activity.  </w:t>
        <w:br/>
        <w:t xml:space="preserve">13. The competition authorities have also questioned the existence of distinct markets, on the one hand, for home hospitalization services and, on the other hand, for the provision of dialysis care10. However, regarding dialysis activities, it follows from European decision-making practice that this type of care cannot be distinguished from other comparable hospital care offerings. Furthermore, the Competition Authority has considered a distinct segment of care offerings falling under CMD 28 (sessions), to which dialysis care belongs.  </w:t>
        <w:br/>
        <w:t xml:space="preserve">14. In any case, the question of the exact definition of the markets for the provision of hospital diagnostics and care can be left open, as the conclusions of the competitive analysis remain unchanged, regardless of the delimitation adopted.  </w:t>
        <w:br/>
        <w:t xml:space="preserve">8 Dialyses, chemotherapy, radiotherapy, transfusions, etc.  </w:t>
        <w:br/>
        <w:t xml:space="preserve">9 A care act is said to be "surgical" when it consists of a surgical intervention.  </w:t>
        <w:br/>
        <w:t>10 Decisions n° 15-DCC-146 and COMP/M.7725 cited above.</w:t>
      </w:r>
    </w:p>
    <w:p>
      <w:r>
        <w:t xml:space="preserve">B- GEOGRAPHICAL MARKETS  </w:t>
        <w:br/>
        <w:t xml:space="preserve">15. The European Commission believes that the markets for the provision of hospital diagnostics and care can be of a local dimension, corresponding to areas accessible within a thirty-minute car journey11.  </w:t>
        <w:br/>
        <w:t xml:space="preserve">16. The Competition Authority, taking into account the regulatory instruments used by the ARS, considers that the markets for the provision of hospital diagnostics and care can be of a local, departmental12, or regional nature. This scope is particularly dependent on the specialty concerned13. The Competition Authority has specifically noted that the size of the areas from which patients come can vary, not only depending on the establishment and the medical-surgical specialties practiced there, but also depending on the region considered, its population density, and its level of equipment in hospital care establishments. Finally, the coverage by health insurance of transportation costs incurred by certain patients tends to increase their willingness to travel for care.  </w:t>
        <w:br/>
        <w:t xml:space="preserve">17. The Competition Authority has thus examined, on a case-by-case basis, the travel times between the hospital care establishments of the parties to a concentration. It has notably observed that patients generally travel for a time ranging from 30 minutes to one hour in the departments of Var, Aude14, and Pas-de-Calais15, as well as in the former Limousin region. Regarding the Île-de-France region, the Competition Authority has considered it to constitute a unique geographical market16. It noted, in fact, that it is characterized by a very high mobility of patients, particularly due to the extensive offering of hospital care establishments and the existence of regional, or even national, attraction centers.  </w:t>
        <w:br/>
        <w:t xml:space="preserve">18. In its decision-making practice17, the Competition Authority first analyzed the effects of the operation at the regional level (in the sense of administrative regions before the adoption of the territorial reform law of 2015) and at the departmental level. Then, for the areas where, due to the concentration, the position of the new entity reached 50% in at least one market or segment defined above, the geographical delimitation was refined to reflect the reality of the journeys made by patients. The competitive analysis was thus supplemented by examining the effects of the operation in areas corresponding to a radius of thirty minutes and a radius of one hour of travel by car around the target establishments, regardless of the region concerned.  </w:t>
        <w:br/>
        <w:t xml:space="preserve">11 Decisions COMP/M.7725, COMP/M.7221, and COMP/M.5805 cited above.  </w:t>
        <w:br/>
        <w:t xml:space="preserve">12 The department generally corresponds to the scope of the new "territories of health democracy" defined by the ARS, which replace health territories since the entry into force of law n° 2016-41 of January 26, 2016, modernizing the health system. In this case, the parties are simultaneously active in two health democracy territories covering two distinct departments, namely Haute-Garonne (31) and Rhône (69). A competitive analysis will therefore be conducted in each of these two departments.  </w:t>
        <w:br/>
        <w:t xml:space="preserve">13 Decisions n° 17-DCC-95 and n° 15-DCC-146 cited above.  </w:t>
        <w:br/>
        <w:t xml:space="preserve">14 Decision of the Competition Authority n° 14-DCC-79 of June 11, 2014, regarding the exclusive control of the Médi-Partenaires group by the Bridgepoint group.  </w:t>
        <w:br/>
        <w:t xml:space="preserve">15 Decision of the Competition Authority n° 15-DCC-155 of November 30, 2015, regarding the exclusive control of Hôpital Privé Métropole by Compagnie Générale de Santé.  </w:t>
        <w:br/>
        <w:t xml:space="preserve">16 Decisions of the Competition Authority n° 14-DCC-79 cited above and n° 14-DCC-141 of September 24, 2014, regarding the joint control of Générale de Santé by Ramsay Health Care and Predica (Crédit Agricole Group).  </w:t>
        <w:br/>
        <w:t>17 Decisions n° 18-DCC-162 and n° 17-DCC-95 cited above.</w:t>
      </w:r>
    </w:p>
    <w:p>
      <w:r>
        <w:t xml:space="preserve">19. There is no need to challenge the geographical definition of the markets for the provision of hospital diagnostics and care that has been adopted in the aforementioned decision-making practice.  </w:t>
        <w:br/>
        <w:t xml:space="preserve">20. In this case, the parties are not simultaneously present in any department or region. However, an overlap of activity appears when considering local areas defined by 60-minute car journeys.  </w:t>
        <w:br/>
        <w:t xml:space="preserve">III. Competitive Analysis  </w:t>
        <w:br/>
        <w:t xml:space="preserve">A- THE SPECIFICITIES OF THE HEALTH SECTOR  </w:t>
        <w:br/>
        <w:t xml:space="preserve">1. THE ANTICOMPETITIVE EFFECTS LIKELY TO RESULT FROM AN EXCESSIVE CONCENTRATION OF THE SUPPLY OF HOSPITAL CARE AND DIAGNOSTICS  </w:t>
        <w:br/>
        <w:t xml:space="preserve">21. Health is a sector that presents very specific, sometimes complex, economic and regulatory operating modalities, in which the implementation of competition rules must be adapted to existing specificities. The forms of competition between health establishments and the assessment of the effect of their concentration on the functioning of unregulated markets have therefore been analyzed in light of the protection of patient welfare, but also the interests of practitioners who offer their services to health establishments and the performance of the current regulatory system for hospital care and diagnostics in France, in accordance with the decision-making practice of the Competition Authority in this sector18.  </w:t>
        <w:br/>
        <w:t xml:space="preserve">a) Types of potential effects19  </w:t>
        <w:br/>
        <w:t xml:space="preserve">(i) Pricing effects  </w:t>
        <w:br/>
        <w:t xml:space="preserve">22. The examination of the horizontal effects of a concentration in the hospital care and diagnostics sector must take into account the specific pricing mechanisms and the existence of particularities inherent to the French health system. Indeed, the tariffs for care services provided by public and private establishments are regulated and set annually at the national level, within the framework of the activity-based pricing system (T2A). Each care activity corresponds to a flat-rate tariff for the service that the establishment can charge. Health establishments do not have the ability to deviate from these tariffs. Consequently, private clinics cannot, due to the applicable regulatory framework, unilaterally increase the tariff of the contracted care20 they provide. These flat-rate tariffs concern the vast majority of care services.  </w:t>
        <w:br/>
        <w:t xml:space="preserve">18 Decisions n° 18-DCC-162 and n° 17-DCC-95 cited above.  </w:t>
        <w:br/>
        <w:t xml:space="preserve">19 Competitive effects by comparison can be noted in the health sector, as the activity-based pricing system (T2A) is based on a comparison mechanism, the effectiveness of which relies on the regulator's ability to have a sufficient number of comparison points to set tariffs based on the annual cost study conducted by the ATIH. However, in this case, the operation is not likely to produce such effects, given the limited impact of the operation on the comparison tools.  </w:t>
        <w:br/>
        <w:t>20 Some so-called comfort care, covered by CMD 23, are not contracted.</w:t>
      </w:r>
    </w:p>
    <w:p>
      <w:r>
        <w:rPr>
          <w:b/>
        </w:rPr>
        <w:t>[Pages 7–9]</w:t>
      </w:r>
    </w:p>
    <w:p>
      <w:r>
        <w:t>23. The pricing of ancillary services (referred to as "hotel" services) is, however, freely determined by health establishments. These services are defined in Article R. 162-27 of the Social Security Code and include: the private room supplement, accommodation and meals for companions, television, telephone, and exceptional services. An excessive concentration of health establishments in a relevant geographical area is therefore likely to lead to an increase in the prices of these services, to the detriment of patients.</w:t>
      </w:r>
    </w:p>
    <w:p>
      <w:r>
        <w:t>24. The holding by the same group of market shares exceeding 50% in at least two CMDs is likely to encourage the new entity to raise the prices of ancillary services21. This analytical criterion, which also allows for the assessment of strong positions on GAS, is consistent with the decision-making practice of the Competition Authority in the health sector where it has considered that holding a very strong position in a single CMD is not, by itself, constitutive of market power22.</w:t>
      </w:r>
    </w:p>
    <w:p>
      <w:r>
        <w:t>(ii) Effects on the quality and diversity of services</w:t>
      </w:r>
    </w:p>
    <w:p>
      <w:r>
        <w:t>25. The ARS, which issue activity authorizations, carry out inspection-control missions regarding the installation and operational conditions of care activities that may result in injunctions for compliance, suspension, or withdrawal of the authorization, under the conditions provided for in Article L. 6122-13 of the Public Health Code. Furthermore, the HAS conducts certification of health establishments every four to six years, in order to evaluate the quality of services provided by hospitals and clinics in France. Thus, the possibility of degrading the quality of care itself as a result of the operation appears limited by the existence of these safeguards.</w:t>
      </w:r>
    </w:p>
    <w:p>
      <w:r>
        <w:t>26. However, the Competition Authority considers that a company holding significant positions in at least two CMDs is likely to degrade the quality of the care offer, being incentivized to reorganize its services among the establishments it owns. A hospital group may thus be encouraged to concentrate its activity in the CMDs generating the largest volumes of activity to achieve synergies. This reallocation of resources is likely to be carried out to the detriment of the CMDs in which the group's activity is the least significant, potentially leading to service closures, which would reduce the diversity of care offered to patients in the same geographical area.</w:t>
      </w:r>
    </w:p>
    <w:p>
      <w:r>
        <w:t>(iii) Conglomerate effects</w:t>
      </w:r>
    </w:p>
    <w:p>
      <w:r>
        <w:t>27. Care authorizations are issued by the ARS and do not necessarily cover the CMDs. Some are related23. Practitioners can distribute their activity among several establishments by primarily practicing in one establishment for one activity and secondarily in another establishment for a related activity. A concentration operation, by bringing together within the same group several related care activity authorizations, is likely to encourage a hospital group to condition the ability of practitioners primarily linked to a third establishment to exercise or continue exercising part of their activity within one of its establishments on the termination of the primary practice contract. Such behavior would allow a hospital group, which holds strong positions linked to the possession of several activity authorizations, to "capture" practitioners from competing establishments, which is likely to threaten the attractiveness and viability of the latter and, ultimately, reduce the alternatives offered to patients in a given territory.</w:t>
      </w:r>
    </w:p>
    <w:p>
      <w:r>
        <w:t>B- HORIZONTAL EFFECTS</w:t>
      </w:r>
    </w:p>
    <w:p>
      <w:r>
        <w:t>28. The operation results in an overlap of activity, at the boundary of the area, between the Saint Faron clinic (77) belonging to the Saint Gatien group and three clinics of the Courlancy group located in Reims (51) and in neighboring municipalities (Courlancy polyclinic, Bezannes clinic, and Bleuets clinic). The travel times between these establishments are indeed, according to the tools used, slightly below or slightly above 60 minutes.</w:t>
      </w:r>
    </w:p>
    <w:p>
      <w:r>
        <w:t>29. The notifying party has communicated the resulting market shares from the operation according to two approaches. Firstly, by considering the Saint Faron clinic, belonging to the acquirer, as the center of the local area, and secondly, by considering the Bleuets clinic, belonging to the target, as the center of the local area. In all cases, regardless of the GAS or CMD analyzed, the market shares of the parties remain always below [40-50]%, and the increase in market share brought by the target remains always below [5-10]%. The market share criterion presented in paragraph 24 above is therefore not met.</w:t>
      </w:r>
    </w:p>
    <w:p>
      <w:r>
        <w:t>30. Consequently, the operation is not likely to harm competition in the market for the provision of hospital diagnostics and care through horizontal effects.</w:t>
      </w:r>
    </w:p>
    <w:p>
      <w:r>
        <w:t>C- CONGLOMERATE EFFECTS</w:t>
      </w:r>
    </w:p>
    <w:p>
      <w:r>
        <w:t>31. A concentration has conglomerate effects when the new entity extends or strengthens its presence in several markets whose relatedness may allow it to increase its market power. Generally, such effects are analyzed when a concentration operation extends or strengthens the presence of a new entity in several distinct but related markets. These effects can also be analyzed when the strengthening of the position of a new entity occurs in the same market, but it is a market of sufficiently differentiated products so that, on the one hand, a leverage effect can be exercised from one of them and, on the other hand, the same customers regularly purchase more than one product within this product range. While conglomerate concentrations can generally generate pro-competitive synergies, some may nonetheless produce restrictive competition effects when they allow for the technical or commercial tying of the sales or purchases of the components of the grouping in such a way as to lock the market and exclude competitors.</w:t>
      </w:r>
    </w:p>
    <w:p>
      <w:r>
        <w:t>32. The decision-making practice of competition authorities generally considers that a risk of conglomerate effect can be ruled out as long as the share of the entity resulting from the operation in the relevant markets does not exceed 30%.</w:t>
      </w:r>
    </w:p>
    <w:p>
      <w:r>
        <w:t>33. This type of effect could apply to the health sector if one considers that hospital establishments compete to attract the "best" practitioners (in terms of reputation, competence, specialization, etc.) and that holding the only care authorization in the area for a given activity and a portfolio of related care activity authorizations can serve as leverage to condition a practitioner's exercise in one establishment on the abandonment of their practice in a third hospital establishment. Such a strategy would strengthen the reputation and volume of activity of a hospital establishment, to the detriment of other establishments located in the same territory, risking their exclusion. This capture of practitioners from hospital establishments is therefore likely, in the long term, to reduce the alternatives offered to patients in a relevant territory.</w:t>
      </w:r>
    </w:p>
    <w:p>
      <w:r>
        <w:t>34. In this case, the new entity will not, regardless of the geographical area concerned, be the only operator holding a specific authorization to provide a certain type of care.</w:t>
      </w:r>
    </w:p>
    <w:p>
      <w:r>
        <w:t>35. In this specific case, the operation is therefore not likely to bring together, within the same group, several related care activity authorizations, which form a portfolio that third establishments, in certain territories, would not hold.</w:t>
      </w:r>
    </w:p>
    <w:p>
      <w:r>
        <w:t>36. Consequently, the operation is not likely to harm competition through conglomerate effects.</w:t>
      </w:r>
    </w:p>
    <w:p>
      <w:r>
        <w:t>D- THE RISK OF CREATING OR STRENGTHENING PURCHASING POWER</w:t>
      </w:r>
    </w:p>
    <w:p>
      <w:r>
        <w:t>37. A concentration operation can harm competition by strengthening purchasing power that places suppliers in a situation of economic dependence.</w:t>
      </w:r>
    </w:p>
    <w:p>
      <w:r>
        <w:t>38. In this case, the main suppliers of the Courlancy group and the Saint Gatien group are companies providing healthcare solutions and medical equipment such as [confidential].</w:t>
      </w:r>
    </w:p>
    <w:p>
      <w:r>
        <w:t>39. The notifying party, however, estimates that the market share of the new entity in total hospital purchases in France is at most 1%, regardless of the market segmentation considered for the supply of hospital establishments24.</w:t>
      </w:r>
    </w:p>
    <w:p>
      <w:r>
        <w:t>40. Furthermore, many pharmaceutical or equipment suppliers are global groups, and therefore have a very significant economic weight in relation to the position of the new entity.</w:t>
      </w:r>
    </w:p>
    <w:p>
      <w:r>
        <w:t>41. Consequently, the operation is not likely to create or strengthen purchasing power, or to place suppliers in a state of economic dependence, in the relevant markets.</w:t>
      </w:r>
    </w:p>
    <w:p>
      <w:r>
        <w:rPr>
          <w:b/>
        </w:rPr>
        <w:t>[Pages 10–10]</w:t>
      </w:r>
    </w:p>
    <w:p>
      <w:r>
        <w:t xml:space="preserve">DECIDES  </w:t>
        <w:br/>
        <w:t xml:space="preserve">Sole Article: The operation notified under number 19-226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