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https://www.autoritedelaconcurrence.fr/fr/decision-de-controle-des-concentrations/relative-la-prise-de-controle-exclusif-du-groupe-cruiseline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20-DCC-44 of March 13, 2020  </w:t>
        <w:br/>
        <w:t xml:space="preserve">regarding the exclusive control acquisition of the Cruiseline group by the  </w:t>
        <w:br/>
        <w:t xml:space="preserve">Abénex V and Abénex V France funds  </w:t>
        <w:br/>
        <w:t xml:space="preserve">The Competition Authority,  </w:t>
        <w:br/>
        <w:t xml:space="preserve">Having regard to the complete notification file sent to the mergers department on February 7, 2020,  </w:t>
        <w:br/>
        <w:t xml:space="preserve">concerning the exclusive control acquisition of the Cruiseline group by the Abénex V and Abénex V  </w:t>
        <w:br/>
        <w:t xml:space="preserve">France funds, represented by their management company, Abénex Capital, formalized by a transfer contract dated February 3, 2020;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elements transmitted during the investigation;  </w:t>
        <w:br/>
        <w:t xml:space="preserve">Adopts the following decision:  </w:t>
        <w:br/>
        <w:t xml:space="preserve">1. The notified operation consists of the exclusive control acquisition by the Abénex V and Abénex  </w:t>
        <w:br/>
        <w:t xml:space="preserve">V France funds, represented by their management company, Abénex Capital, of the company Cruise and  </w:t>
        <w:br/>
        <w:t xml:space="preserve">Travel SA and its subsidiaries (together, "the Cruiseline group") which are active in the sector  </w:t>
        <w:br/>
        <w:t xml:space="preserve">of distance selling of cruises, organized trips, and luxury rail cruises. It constitutes a concentration operation within the meaning of Article L. 430-1 of the Commercial Code. Given the turnover achieved by the concerned companies,  </w:t>
        <w:br/>
        <w:t xml:space="preserve">the operation does not fall under the jurisdiction of the European Union. On the other hand, the control thresholds mentioned in point I of Article L. 430-2 of the Commercial Code are exceeded. The  </w:t>
        <w:br/>
        <w:t xml:space="preserve">present operation is therefore subject to the provisions of Articles L. 430-3 and following of the Commercial Code relating to economic concentration.  </w:t>
        <w:br/>
        <w:t xml:space="preserve">2. In view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20-034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