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https://www.autoritedelaconcurrence.fr/fr/decision-de-controle-des-concentrations/relative-la-prise-de-controle-exclusif-du-groupe-cupa-par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22-DCC-62 of May 6, 2022  </w:t>
        <w:br/>
        <w:t xml:space="preserve">regarding the exclusive control acquisition of the Cupa group by the company  </w:t>
        <w:br/>
        <w:t xml:space="preserve">Brookfield Asset Management Inc.  </w:t>
        <w:br/>
        <w:t xml:space="preserve">The Competition Authority,  </w:t>
        <w:br/>
        <w:t xml:space="preserve">Having regard to the complete notification file submitted to the mergers department on April 6, 2022,  </w:t>
        <w:br/>
        <w:t xml:space="preserve">concerning the exclusive control acquisition of the company Cupa Group Finance S.L. and all its  </w:t>
        <w:br/>
        <w:t xml:space="preserve">subsidiaries by the company Brookfield Asset Management Inc., formalized by a share transfer agreement dated January 26, 2022;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by the company Brookfield Asset  </w:t>
        <w:br/>
        <w:t xml:space="preserve">Management Inc. of the Cupa group, active in the extraction, production, and marketing  </w:t>
        <w:br/>
        <w:t xml:space="preserve">of natural slate and natural stone roofing materials and related products. It  </w:t>
        <w:br/>
        <w:t xml:space="preserve">constitutes a concentration operation within the meaning of Article L. 430-1 of the Commercial Code.  </w:t>
        <w:br/>
        <w:t xml:space="preserve">Given the turnover achieved by the companies concerned, the operation does not fall  </w:t>
        <w:br/>
        <w:t xml:space="preserve">under the jurisdiction of the European Union. On the other hand, the control thresholds mentioned in  </w:t>
        <w:br/>
        <w:t xml:space="preserve">I of Article L. 430-2 of the Commercial Code are exceeded. This operation is therefore subject  </w:t>
        <w:br/>
        <w:t xml:space="preserve">to the provisions of Articles L. 430-3 and following of the Commercial Code relating to economic  </w:t>
        <w:br/>
        <w:t xml:space="preserve">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22-041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