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https://www.autoritedelaconcurrence.fr/fr/decision-de-controle-des-concentrations/relative-la-prise-de-controle-exclusif-du-groupe-daltys-par</w:t>
      </w:r>
    </w:p>
    <w:p>
      <w:r>
        <w:t>Pages translated : 2</w:t>
      </w:r>
    </w:p>
    <w:p/>
    <w:p>
      <w:r>
        <w:rPr>
          <w:b/>
        </w:rPr>
        <w:t>[Pages 1–2]</w:t>
      </w:r>
    </w:p>
    <w:p>
      <w:r>
        <w:t xml:space="preserve">FRENCH REPUBLIC  </w:t>
        <w:br/>
        <w:t xml:space="preserve">Decision No. 11-DCC-81 of May 23, 2011  </w:t>
        <w:br/>
        <w:t xml:space="preserve">regarding the exclusive control acquisition of the Daltys group by the company  </w:t>
        <w:br/>
        <w:t xml:space="preserve">21 Centrale Partners  </w:t>
        <w:br/>
        <w:t xml:space="preserve">The Competition Authority,  </w:t>
        <w:br/>
        <w:t xml:space="preserve">Having regard to the complete notification file sent to the mergers department on May 6, 2011,  </w:t>
        <w:br/>
        <w:t xml:space="preserve">concerning the exclusive control acquisition of the Daltys group by the company 21 Centrale Partners,  </w:t>
        <w:br/>
        <w:t xml:space="preserve">formalized by an agreement dated May 2, 2011;  </w:t>
        <w:br/>
        <w:t xml:space="preserve">Having regard to Book IV of the Commercial Code relating to the freedom of prices and competition, and  </w:t>
        <w:br/>
        <w:t xml:space="preserve">notably its Articles L. 430-1 to L. 430-7;  </w:t>
        <w:br/>
        <w:t xml:space="preserve">Adopts the following decision:  </w:t>
        <w:br/>
        <w:t xml:space="preserve">1. 21 Centrale Partners is a portfolio management company. The notified operation consists  </w:t>
        <w:br/>
        <w:t xml:space="preserve">of the exclusive control acquisition of all activities of the Daltys group, active in the sectors of automatic distribution and subcontracting or concession of catering services, by the company 21 Centrale Partners. It constitutes a concentration operation within the meaning of Article L. 430-1 of the Commercial Code. Given the turnover achieved by the concerned companies, the operation does not have a community dimension. On the other hand, the control thresholds related to concentration operations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11-0077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