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https://www.autoritedelaconcurrence.fr/fr/decision-de-controle-des-concentrations/relative-la-prise-de-controle-exclusif-du-groupe-de-fursac</w:t>
      </w:r>
    </w:p>
    <w:p>
      <w:r>
        <w:t>Pages translated : 6</w:t>
      </w:r>
    </w:p>
    <w:p/>
    <w:p>
      <w:r>
        <w:rPr>
          <w:b/>
        </w:rPr>
        <w:t>[Pages 1–3]</w:t>
      </w:r>
    </w:p>
    <w:p>
      <w:r>
        <w:t xml:space="preserve">FRENCH REPUBLIC  </w:t>
        <w:br/>
        <w:t xml:space="preserve">Decision No. 19-DCC-162 of August 23, 2019  </w:t>
        <w:br/>
        <w:t xml:space="preserve">regarding the exclusive control of the De Fursac group by the  </w:t>
        <w:br/>
        <w:t xml:space="preserve">Sandro Maje Claudie Pierlot group  </w:t>
        <w:br/>
        <w:t xml:space="preserve">The Competition Authority,  </w:t>
        <w:br/>
        <w:t xml:space="preserve">Having regard to the notification file submitted in full to the merger service on July 24, 2019,  </w:t>
        <w:br/>
        <w:t xml:space="preserve">regarding the exclusive control of De Fursac Finance by SMCP Group, formalized by a share transfer agreement dated July 5, 2019;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SMCP Group is a company controlled by SMCP, at the head of the Sandro Maje Claudie Pierlot group (hereinafter, "the SMCP group"). The SMCP group is exclusively controlled by European TopSoho, which is itself exclusively controlled by the Chinese group Ruyi, which is active in the textile sector. The SMCP group is engaged in the design, manufacture, and wholesale and retail sale of ready-to-wear items, accessories, and shoes under the brands Sandro, Maje, and Claudie Pierlot1. Only the Sandro brand is present in the ready-to-wear, accessories, and shoes sector for men, through 184 points of sale and an online sales site (www.sandro-paris.com).  </w:t>
        <w:br/>
        <w:t xml:space="preserve">2. De Fursac Finance is the parent company of the De Fursac group, which is active in the design, manufacture, and retail sale of ready-to-wear items, shoes, and accessories for men. The group has 51 points of sale and an online sales site (www.defursac.fr).  </w:t>
        <w:br/>
        <w:t>1 These three brands can be distributed together under the Suite 341 banner.</w:t>
      </w:r>
    </w:p>
    <w:p>
      <w:r>
        <w:t xml:space="preserve">3. The notified transaction, formalized by a share transfer agreement dated July 5, 2019, involves the acquisition by SMCP Group of almost all of the share capital (96.70%) and voting rights (96.35%) of De Fursac Finance.  </w:t>
        <w:br/>
        <w:t xml:space="preserve">4. As it results in the exclusive control of the De Fursac group by the SMCP group, the notified transaction constitutes a concentration operation within the meaning of Article L. 430-1 of the Commercial Code.  </w:t>
        <w:br/>
        <w:t xml:space="preserve">5. The companies concerned together achieve a worldwide turnover excluding taxes of more than 75 million euros (SMCP group: [≥ 75 million] euros for the fiscal year ending December 31, 2018; De Fursac group: [≤ 75 million] euros for the fiscal year ending January 31, 2019). Each of these companies achieves in France a turnover exceeding 15 million euros (SMCP group: [≥ 15 million] euros for the fiscal year ending December 31, 2018; De Fursac group: [≥ 15 million] euros for the fiscal year ending January 31, 2019). Given these turnover figures,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UPSTREAM SUPPLY MARKETS  </w:t>
        <w:br/>
        <w:t xml:space="preserve">6. In the distributor supply sector, competition authorities consider that producers cannot easily switch to manufacturing products other than their own. They distinguish as many markets as there are families of products. The Competition Authority has notably considered a distinct supply market for shoes separate from a supply market for men's clothing2.  </w:t>
        <w:br/>
        <w:t xml:space="preserve">7. The markets for the supply of new non-food products are generally at least national in scope3. The markets for the supply of clothing and shoes, on the other hand, have a global dimension4.  </w:t>
        <w:br/>
        <w:t xml:space="preserve">2 Decisions of the Competition Authority No. 10-DCC-42 of May 25, 2010, regarding the acquisition by 3 Suisses International SA of certain assets of La Source, No. 10-DCC-77 of July 9, 2010, regarding the takeover of Afibel SAS by Damartex SA, No. 10-DCC-139 of October 27, 2010, regarding the joint control of Maje, Sandro, Claudie Pierlot, and HF Biousse by L Capital and Florac, No. 10-DCC-159 of November 12, 2010, regarding the takeover of Comptoir Français de la Mode by Du Pareil au Même, No. 11-DCC-49 of March 24, 2011, regarding the acquisition of the assets of La City group by Beaumanoir group, No. 13-DCC-77 of July 4, 2013, regarding the acquisition of Financière Riu, Riu-Aublet, and Compagnie and Jacqueline Riu Polska by Société Immobilière et Mobilière de Montagny, No. 17-DCC-39 of April 4, 2017, regarding the acquisition of exclusive control of Livelle and 3Suisses Belgium by Domoti SAS, and No. 18-DCC-01 of January 10, 2018, regarding the acquisition of exclusive control of La Redoute by Motier (Galeries Lafayette group).  </w:t>
        <w:br/>
        <w:t xml:space="preserve">3 Decisions No. 10-DCC-42, No. 17-DCC-39, and No. 18-DCC-01 cited above.  </w:t>
        <w:br/>
        <w:t xml:space="preserve">4 Decisions No. 10-DCC-42, No. 10-DCC-77, No. 10-DCC-139, No. 10-DCC-159, No. 11-DCC-49, No. 13-DCC-77, No. 17-DCC-39, and No. 18-DCC-01 cited above.  </w:t>
        <w:br/>
        <w:t xml:space="preserve">* Correction of material error.  </w:t>
        <w:br/>
        <w:t>2</w:t>
      </w:r>
    </w:p>
    <w:p>
      <w:r>
        <w:t xml:space="preserve">B. DOWNSTREAM MARKETS OF RETAIL DISTRIBUTION  </w:t>
        <w:br/>
        <w:t xml:space="preserve">1. PRODUCT MARKETS  </w:t>
        <w:br/>
        <w:t xml:space="preserve">Retail distribution market for clothing  </w:t>
        <w:br/>
        <w:t xml:space="preserve">8. Regarding the retail distribution of clothing, the Authority considered several segmentations based on (i) the gender and age of consumers (men, women, children) and (ii) the range of products sold (entry-level, mid-range, and high-end)5.  </w:t>
        <w:br/>
        <w:t xml:space="preserve">9. Concerning distribution channels, it has distinguished, to date, sales made in physical stores and distance sales (online and mail order)6. The clothing distribution market in stores is further sub-segmented between sales in specialized boutiques and sales in specialized large stores (such as Gémo or Kiabi) and in large food stores7.  </w:t>
        <w:br/>
        <w:t xml:space="preserve">10. The question of the exact definition of the retail distribution market for clothing may, however, be left open insofar as, regardless of the segmentation retained, the conclusions of the competitive analysis remain unchanged.  </w:t>
        <w:br/>
        <w:t xml:space="preserve">Retail distribution market for shoes  </w:t>
        <w:br/>
        <w:t xml:space="preserve">11. Similar to its decision-making practice regarding the retail distribution of clothing, the Authority has segmented the retail distribution market for shoes based on the range of products sold (entry-level, mid-range, and high-end)8.  </w:t>
        <w:br/>
        <w:t xml:space="preserve">12. It has also distinguished between the distribution of indoor shoes (slippers, charentaises) and the distribution of outdoor shoes, further sub-segmenting this segment between city shoes and sports shoes9.  </w:t>
        <w:br/>
        <w:t xml:space="preserve">13. The market for the distribution of shoes in stores is segmented by distribution channel, between sales in specialized boutiques and sales in large food stores and specialized large stores10. Furthermore, the Authority has recently considered the existence of a market including all distribution channels, without, however, resolving the issue11.  </w:t>
        <w:br/>
        <w:t xml:space="preserve">14. The question of the exact definition of the retail distribution market for shoes may, however, be left open insofar as, regardless of the segmentation retained, the conclusions of the competitive analysis remain unchanged.  </w:t>
        <w:br/>
        <w:t xml:space="preserve">5 Decisions No. 10-DCC-139, No. 10-DCC-159, No. 11-DCC-49, No. 13-DCC-77 cited above and the Authority's decision No. 17-DCC-69 of May 31, 2017, regarding the exclusive control of the HMY group by LBO France Gestion.  </w:t>
        <w:br/>
        <w:t xml:space="preserve">6 Decisions No. 10-DCC-77, No. 17-DCC-139, and No. 18-DCC-01 cited above.  </w:t>
        <w:br/>
        <w:t xml:space="preserve">7 Ibid.  </w:t>
        <w:br/>
        <w:t xml:space="preserve">8 Decisions No. 10-DCC-139 and No. 10-DCC-159 cited above.  </w:t>
        <w:br/>
        <w:t xml:space="preserve">9 Decision of the Authority No. 18-DCC-50 of April 20, 2018, regarding the exclusive control of Sarenza SA by Monoprix SAS (Casino group).  </w:t>
        <w:br/>
        <w:t xml:space="preserve">10 Decisions No. 10-DCC-139 and No. 10-DCC-159 cited above.  </w:t>
        <w:br/>
        <w:t xml:space="preserve">11 Decision No. 18-DCC-50 cited above.  </w:t>
        <w:br/>
        <w:t>3</w:t>
      </w:r>
    </w:p>
    <w:p>
      <w:r>
        <w:rPr>
          <w:b/>
        </w:rPr>
        <w:t>[Pages 4–6]</w:t>
      </w:r>
    </w:p>
    <w:p>
      <w:r>
        <w:t>Retail Distribution Market of Discounted Products</w:t>
      </w:r>
    </w:p>
    <w:p>
      <w:r>
        <w:t>15. The Authority has identified the existence of a retail distribution market for low-priced items in which stores specializing in the clearance of branded products or the sale of discounted products sell low-priced items to consumers. It considered a segmentation of this market by product family and distribution channel12.</w:t>
      </w:r>
    </w:p>
    <w:p>
      <w:r>
        <w:t>16. In this case, the parties have so-called "outlet" stores in which they distribute unsold stock (men's clothing and shoes) from previous collections at prices lower than those in traditional stores13.</w:t>
      </w:r>
    </w:p>
    <w:p>
      <w:r>
        <w:t>17. In this case, it is not necessary to revisit this definition of the retail distribution market of discounted products.</w:t>
      </w:r>
    </w:p>
    <w:p>
      <w:r>
        <w:t>2. GEOGRAPHICAL MARKETS</w:t>
      </w:r>
    </w:p>
    <w:p>
      <w:r>
        <w:t>18. Regarding the retail distribution of shoes, clothing, and discounted products, the Authority considers that competition occurs between points of sale located in catchment areas. Two criteria are used to delineate these areas14:</w:t>
        <w:br/>
        <w:t>- on the one hand, for specialized boutiques, there are as many geographical markets as there are cities where retailers likely to sell these items are located, each of these markets corresponding to the commercial attraction zone of the city in which a store of the parties is located;</w:t>
        <w:br/>
        <w:t>- on the other hand, for large food stores and specialized large stores, the geographical market would correspond to a radius of 20 minutes by car from a store of the parties.</w:t>
      </w:r>
    </w:p>
    <w:p>
      <w:r>
        <w:t>19. Furthermore, the increasing weight in this sector of specialized distribution chains, consisting of networks of points of sale under a common brand, operated independently, under franchise, or in purchasing groups and present throughout the national territory raises the question of the need for additional analysis at the national level15.</w:t>
      </w:r>
    </w:p>
    <w:p>
      <w:r>
        <w:t>20. Finally, regarding distance sales of these items, the decision-making practice of competition authorities retains a national delineation, due to linguistic differences and the heterogeneity of consumer habits within the European Union, as well as the homogeneity of costs and delivery times at the national level16.</w:t>
      </w:r>
    </w:p>
    <w:p>
      <w:r>
        <w:t>21. In this case, the parties distribute their items through chains of specialized boutiques and online, the competitive analysis will be conducted at the level of each city where the parties' activities overlap and at the national level.</w:t>
      </w:r>
    </w:p>
    <w:p>
      <w:r>
        <w:t>III. Competitive Analysis</w:t>
      </w:r>
    </w:p>
    <w:p>
      <w:r>
        <w:t>22. The SMCP and De Fursac groups are simultaneously active in the upstream markets for the supply of men's clothing and shoes as buyers and sellers (although this activity is marginal for the De Fursac group).</w:t>
      </w:r>
    </w:p>
    <w:p>
      <w:r>
        <w:t>23. They are also present in the retail distribution markets for city shoes and men's clothing in specialized boutiques and online, as well as in points of sale for discounted products.</w:t>
      </w:r>
    </w:p>
    <w:p>
      <w:r>
        <w:t>A. UPSTREAM SUPPLY MARKETS</w:t>
      </w:r>
    </w:p>
    <w:p>
      <w:r>
        <w:t>24. In the upstream markets for the supply of shoes and men's clothing, the market share of the new entity will be less than 5%, both in sales and purchases.</w:t>
      </w:r>
    </w:p>
    <w:p>
      <w:r>
        <w:t>25. Consequently, the operation is not likely to harm competition in the supply markets.</w:t>
      </w:r>
    </w:p>
    <w:p>
      <w:r>
        <w:t>B. DOWNSTREAM RETAIL DISTRIBUTION MARKETS</w:t>
      </w:r>
    </w:p>
    <w:p>
      <w:r>
        <w:t>26. The notifying party considers that the Sandro brand has a mid-range positioning, while the De Fursac brand has a high-end positioning referred to as "access luxe." However, according to several price surveys conducted during the investigation, it appears that the items sold under the De Fursac brand generally have a price positioning close to those sold under the Sandro brand.</w:t>
      </w:r>
    </w:p>
    <w:p>
      <w:r>
        <w:t>27. The competitive analysis has therefore been conducted considering that both brands have a common positioning, in this case, mid-range in light of the decision-making practice of the Authority17.</w:t>
      </w:r>
    </w:p>
    <w:p>
      <w:r>
        <w:t>28. Regardless of the market segmentation retained, at the national level, the new entity will have a market share of less than 25%. It will face competition from other national brands, having physical stores and online sales sites, such as The Kooples, Zadig &amp; Voltaire, Lacoste, and Scotch &amp; Soda.</w:t>
      </w:r>
    </w:p>
    <w:p>
      <w:r>
        <w:t>29. At the local level, the parties are simultaneously present in 22 cities18. In each of these cities where a De Fursac store and a Sandro (or Suite 341) store are located, the market share of the new entity is less than 35%, regardless of the market segmentation retained.</w:t>
      </w:r>
    </w:p>
    <w:p>
      <w:r>
        <w:t>30. In these cities, the new entity will face competition from at least three national brands, some offering both clothing and shoes, such as Balibaris, Fred Perry, Gant, Hackett London, Hugo Boss, IKKS, Lacoste, Massimo Dutti, Ralph Lauren, Scotch &amp; Soda, The Kooples, Tommy Hilfiger, and Zadig &amp; Voltaire. In addition to competing brands, consumers will be able to turn to specialized stores exclusively selling men's clothing (Café Coton and Nodus) or shoes (Finsbury, Repetto, Mephisto).</w:t>
      </w:r>
    </w:p>
    <w:p>
      <w:r>
        <w:t>31. Finally, in the local markets for the retail distribution of men's clothing and discounted shoes, the market share of the new entity remains below 25%19.</w:t>
      </w:r>
    </w:p>
    <w:p>
      <w:r>
        <w:t>32. Given the above, the operation is not likely to harm competition.</w:t>
      </w:r>
    </w:p>
    <w:p>
      <w:r>
        <w:t>DECIDES</w:t>
      </w:r>
    </w:p>
    <w:p>
      <w:r>
        <w:t>Sole Article: The notified operation under number 19-172 is authorized.</w:t>
      </w:r>
    </w:p>
    <w:p>
      <w: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