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https://www.autoritedelaconcurrence.fr/fr/decision-de-controle-des-concentrations/relative-la-prise-de-controle-exclusif-du-groupe-de-vinci</w:t>
      </w:r>
    </w:p>
    <w:p>
      <w:r>
        <w:t>Pages translated : 2</w:t>
      </w:r>
    </w:p>
    <w:p/>
    <w:p>
      <w:r>
        <w:rPr>
          <w:b/>
        </w:rPr>
        <w:t>[Pages 1–2]</w:t>
      </w:r>
    </w:p>
    <w:p>
      <w:r>
        <w:t xml:space="preserve">FRENCH REPUBLIC  </w:t>
        <w:br/>
        <w:t xml:space="preserve">Decision No. 24-DCC-174 of July 29, 2024  </w:t>
        <w:br/>
        <w:t xml:space="preserve">regarding the exclusive control acquisition of the De Vinci Higher Education group by Ardian France  </w:t>
        <w:br/>
        <w:t xml:space="preserve">The Competition Authority,  </w:t>
        <w:br/>
        <w:t xml:space="preserve">Having regard to the complete notification file sent to the mergers department on July 11, 2024, concerning the exclusive control acquisition of the De Vinci Higher Education group by Ardian France formalized by a purchase agreement signed on June 22, 2024;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acquisition by Ardian France, via ADE Holding, of all the shares of the company D.V.I., at the head of the De Vinci Higher Education group, which is active in the higher education sector. The operation constitutes a concentration within the meaning of Article L. 430-1 of the Commercial Code. Given the turnover generated by the companies concerned,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24-185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