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https://www.autoritedelaconcurrence.fr/fr/decision-de-controle-des-concentrations/relative-la-prise-de-controle-exclusif-du-groupe-dessange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23-DCC-82 of May 22, 2023  </w:t>
        <w:br/>
        <w:t xml:space="preserve">regarding the exclusive control acquisition of the Dessange group by the  </w:t>
        <w:br/>
        <w:t xml:space="preserve">company Intermediate Capital Group  </w:t>
        <w:br/>
        <w:t xml:space="preserve">The Competition Authority,  </w:t>
        <w:br/>
        <w:t xml:space="preserve">Having regard to the complete notification file submitted to the mergers department on May 3, 2023, concerning  </w:t>
        <w:br/>
        <w:t xml:space="preserve">the exclusive control acquisition of the Dessange group by the investment company Intermediate  </w:t>
        <w:br/>
        <w:t xml:space="preserve">Capital Group, formalized by a purchase offer dated April 21,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Dessange group by the investment  </w:t>
        <w:br/>
        <w:t xml:space="preserve">company Intermediate Capital Group. It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23-105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