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https://www.autoritedelaconcurrence.fr/fr/decision-de-controle-des-concentrations/relative-la-prise-de-controle-exclusif-du-groupe-dgf-par-le</w:t>
      </w:r>
    </w:p>
    <w:p>
      <w:r>
        <w:t>Pages translated : 2</w:t>
      </w:r>
    </w:p>
    <w:p/>
    <w:p>
      <w:r>
        <w:rPr>
          <w:b/>
        </w:rPr>
        <w:t>[Pages 1–2]</w:t>
      </w:r>
    </w:p>
    <w:p>
      <w:r>
        <w:t xml:space="preserve">FRENCH REPUBLIC  </w:t>
        <w:br/>
        <w:t xml:space="preserve">Decision No. 21-DCC-97 of June 14, 2021  </w:t>
        <w:br/>
        <w:t xml:space="preserve">regarding the exclusive control acquisition of the DGF group by the Pomona group  </w:t>
        <w:br/>
        <w:t xml:space="preserve">The Competition Authority,  </w:t>
        <w:br/>
        <w:t xml:space="preserve">Having regard to the complete notification file submitted to the mergers department on May 20, 2021, concerning the exclusive control acquisition of the DGF group by the Pomona group, formalized by a memorandum of understanding regarding the transfer of shares of Finest Bakery Ingredients, the holding company of the DGF group, dated April 30, 2021;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exclusive control acquisition of the company Finest Bakery Ingredients, the leading company of the DGF group, by Pomona. Both parties are active in the wholesale distribution of bakery-pastry products.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21-056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