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https://www.autoritedelaconcurrence.fr/fr/decision-de-controle-des-concentrations/relative-la-prise-de-controle-exclusif-du-groupe-diagnovie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22-DCC-61 of April 20, 2022  </w:t>
        <w:br/>
        <w:t xml:space="preserve">regarding the exclusive control acquisition of the Diagnovie group by the  </w:t>
        <w:br/>
        <w:t xml:space="preserve">Biogroup  </w:t>
        <w:br/>
        <w:t xml:space="preserve">The Competition Authority,  </w:t>
        <w:br/>
        <w:t xml:space="preserve">Having regard to the complete notification file sent to the mergers department on March 18, 2022,  </w:t>
        <w:br/>
        <w:t xml:space="preserve">concerning the exclusive control acquisition by the Laboratoire Eimer group, the parent company of the  </w:t>
        <w:br/>
        <w:t xml:space="preserve">Biogroup, of the Diagnovie group, formalized by a letter of intent dated December 21,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Biogroup of the Diagnovie group, active in the medical biology sector. It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22-052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