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https://www.autoritedelaconcurrence.fr/fr/decision-de-controle-des-concentrations/relative-la-prise-de-controle-exclusif-du-groupe-diam-par-0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24-DCC-147 of July 9, 2024</w:t>
        <w:br/>
        <w:t>regarding the exclusive control acquisition of the Diam group by the company</w:t>
        <w:br/>
        <w:t>Ardian France</w:t>
        <w:br/>
        <w:t>The Competition Authority,</w:t>
        <w:br/>
        <w:t>Having regard to the complete notification file sent to the mergers department on June 20, 2024,</w:t>
        <w:br/>
        <w:t>concerning the exclusive control acquisition of the Diam group by the company Ardian France formalized</w:t>
        <w:br/>
        <w:t>by an offer letter dated April 12, 2024;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transmitted by the notifying party during the investigation;</w:t>
        <w:br/>
        <w:t>Adopts the following decision:</w:t>
        <w:br/>
        <w:t>1. The notified operation consists of the exclusive control acquisition by the Ardian Expansion</w:t>
        <w:br/>
        <w:t>Fund VI SLP managed by the company Ardian France of the company Financière Platine and its subsidiaries,</w:t>
        <w:br/>
        <w:t>comprising the Diam group, active in the sectors of merchandising, retail space design, and packaging. It constitutes a concentration operation within the meaning of Article L. 430-1 of the Commercial Code. Given the turnover achieved by the companies involved,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24-146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