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https://www.autoritedelaconcurrence.fr/fr/decision-de-controle-des-concentrations/relative-la-prise-de-controle-exclusif-du-groupe-diam-par</w:t>
      </w:r>
    </w:p>
    <w:p>
      <w:r>
        <w:t>Pages translated : 2</w:t>
      </w:r>
    </w:p>
    <w:p/>
    <w:p>
      <w:r>
        <w:rPr>
          <w:b/>
        </w:rPr>
        <w:t>[Pages 1–2]</w:t>
      </w:r>
    </w:p>
    <w:p>
      <w:r>
        <w:t xml:space="preserve">FRENCH REPUBLIC  </w:t>
        <w:br/>
        <w:t xml:space="preserve">Decision No. 16-DCC-128 of August 24, 2016  </w:t>
        <w:br/>
        <w:t>regarding the exclusive control acquisition of the Diam group by Ardian France</w:t>
      </w:r>
    </w:p>
    <w:p>
      <w:r>
        <w:t>The Competition Authority,</w:t>
      </w:r>
    </w:p>
    <w:p>
      <w:r>
        <w:t>Having regard to the complete notification file submitted to the mergers department on August 1, 2016, concerning the exclusive control acquisition of Financière Cosmos SAS and all its subsidiaries (hereinafter, "the Diam group") by Ardian France, formalized by a share purchase agreement and a draft transfer contract dated July 8, 2016;</w:t>
      </w:r>
    </w:p>
    <w:p>
      <w:r>
        <w:t>Having regard to Book IV of the Commercial Code relating to the freedom of prices and competition, and in particular its Articles L. 430-1 to L. 430-7;</w:t>
      </w:r>
    </w:p>
    <w:p>
      <w:r>
        <w:t>Adopts the following decision:</w:t>
      </w:r>
    </w:p>
    <w:p>
      <w:r>
        <w:t>1. The notified operation consists of the acquisition by Ardian France of exclusive control of the Diam group, which specializes in the production and distribution of point-of-sale advertising products and the layout of retail businesses, primarily in the cosmetic sector. This operation constitutes a concentration operation within the meaning of Article L. 430-1 of the Commercial Code. Given the turnover achieved by the companies concerned, the operation does not fall under the jurisdiction of the European Union. However, the control thresholds mentioned in point 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16-143 is authorized.  </w:t>
        <w:br/>
        <w:t xml:space="preserve">The Vice-President,  </w:t>
        <w:br/>
        <w:t xml:space="preserve">Emmanuel Combe  </w:t>
        <w:br/>
        <w:t xml:space="preserve">© Competition Authority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