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https://www.autoritedelaconcurrence.fr/fr/decision-de-controle-des-concentrations/relative-la-prise-de-controle-exclusif-du-groupe-dispam-par</w:t>
      </w:r>
    </w:p>
    <w:p>
      <w:r>
        <w:t>Pages translated : 2</w:t>
      </w:r>
    </w:p>
    <w:p/>
    <w:p>
      <w:r>
        <w:rPr>
          <w:b/>
        </w:rPr>
        <w:t>[Pages 1–2]</w:t>
      </w:r>
    </w:p>
    <w:p>
      <w:r>
        <w:t xml:space="preserve">FRENCH REPUBLIC  </w:t>
        <w:br/>
        <w:t xml:space="preserve">Decision No. 22-DCC-106 of June 24, 2022  </w:t>
        <w:br/>
        <w:t xml:space="preserve">regarding the exclusive control of the Dispam group by the company  </w:t>
        <w:br/>
        <w:t xml:space="preserve">Cube III Transport  </w:t>
        <w:br/>
        <w:t xml:space="preserve">The Competition Authority,  </w:t>
        <w:br/>
        <w:t xml:space="preserve">Having regard to the complete notification file submitted to the mergers department on June 8, 2022, concerning the exclusive control of the company Pashumar, the holding company of the Dispam group, by the company Cube III Transport, formalized by a unilateral purchase promise dated May 11,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the Dispam group, active in the sector of transport and logistics of goods and industrial fresh products under controlled temperature, by the company Cube III Transport.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22-118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