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https://www.autoritedelaconcurrence.fr/fr/decision-de-controle-des-concentrations/relative-la-prise-de-controle-exclusif-du-groupe-dl</w:t>
      </w:r>
    </w:p>
    <w:p>
      <w:r>
        <w:t>Pages translated : 2</w:t>
      </w:r>
    </w:p>
    <w:p/>
    <w:p>
      <w:r>
        <w:rPr>
          <w:b/>
        </w:rPr>
        <w:t>[Pages 1–2]</w:t>
      </w:r>
    </w:p>
    <w:p>
      <w:r>
        <w:t xml:space="preserve">FRENCH REPUBLIC  </w:t>
        <w:br/>
        <w:t xml:space="preserve">Decision No. 21-DCC-46 of March 25, 2021  </w:t>
        <w:br/>
        <w:t xml:space="preserve">regarding the exclusive control acquisition of the DL Software group by  </w:t>
        <w:br/>
        <w:t xml:space="preserve">the company TA Associates  </w:t>
        <w:br/>
        <w:t xml:space="preserve">The Competition Authority,  </w:t>
        <w:br/>
        <w:t xml:space="preserve">Having regard to the complete notification file submitted to the mergers department on March 4, 2021,  </w:t>
        <w:br/>
        <w:t xml:space="preserve">concerning the exclusive control acquisition of the DL Software group by the company TA Associates,  </w:t>
        <w:br/>
        <w:t xml:space="preserve">formalized by a share transfer agreement dated February 24,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TA Associates of the  </w:t>
        <w:br/>
        <w:t xml:space="preserve">DL Software group, active in the sector of enterprise application software marketing.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21-035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