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https://www.autoritedelaconcurrence.fr/fr/decision-de-controle-des-concentrations/relative-la-prise-de-controle-exclusif-du-groupe-dnca-par</w:t>
      </w:r>
    </w:p>
    <w:p>
      <w:r>
        <w:t>Pages translated : 7</w:t>
      </w:r>
    </w:p>
    <w:p/>
    <w:p>
      <w:r>
        <w:rPr>
          <w:b/>
        </w:rPr>
        <w:t>[Pages 1–3]</w:t>
      </w:r>
    </w:p>
    <w:p>
      <w:r>
        <w:t xml:space="preserve">FRENCH REPUBLIC  </w:t>
        <w:br/>
        <w:t xml:space="preserve">Decision No. 15-DCC-73 of June 22, 2015  </w:t>
        <w:br/>
        <w:t xml:space="preserve">regarding the exclusive control of the DNCA* group by the company  </w:t>
        <w:br/>
        <w:t>Natixis Global Asset Management</w:t>
      </w:r>
    </w:p>
    <w:p>
      <w:r>
        <w:t xml:space="preserve">The Competition Authority,  </w:t>
        <w:br/>
        <w:t xml:space="preserve">Having regard to the notification file submitted in full to the merger service on May 15, 2015,  </w:t>
        <w:br/>
        <w:t xml:space="preserve">regarding the exclusive control of the DNCA* group by the company Natixis Global Asset  </w:t>
        <w:br/>
        <w:t xml:space="preserve">Management, formalized by a memorandum of understanding dated February 18, 2015, and a  </w:t>
        <w:br/>
        <w:t xml:space="preserve">shareholders' agreement dated May 13, 2015;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Natixis Global Asset Management (hereinafter "NGAM") is a company wholly owned by  </w:t>
        <w:br/>
        <w:t xml:space="preserve">Natixis, which is itself controlled and held at 72% by the Banque Populaire and Caisse d’Epargne group (hereinafter "BPCE"). The BPCE group is active in the sectors of commercial banking, insurance, corporate and investment banking, savings management, and financial services. NGAM is the holding company that oversees the asset management activities of Natixis. It controls several management companies in Europe, Asia, and the United States.  </w:t>
        <w:br/>
        <w:t xml:space="preserve">2. The DNCA* group (hereinafter "DNCA*") consists of the holding company DNCA &amp; Cie, the head of the group, and its subsidiary DNCA Finance. DNCA &amp; Cie is owned by the fund TA EU Luxembourg II ([…] %), Banco Leonardo ([… %), and its managers ([…] %) through, among others, DNCA* Management. DNCA* is a group specialized in asset management of the UCITS type and primarily operates through 17 funds.  </w:t>
        <w:br/>
        <w:t xml:space="preserve">3. Under a memorandum of understanding dated February 18, 2015, NGAM will acquire all the shares held by TA EU Luxembourg II and Banco Leonardo in DNCA &amp; Cie, as well as approximately […] % of the shares directly or indirectly held by the managers in this same company. Simultaneously, NGAM will acquire […] % of the capital of DNCA* Management. Upon completion of the transaction, NGAM will directly hold […] % of the capital of the holding DNCA* &amp; Cie and […] % of DNCA* Management, which itself holds […] % of DNCA* &amp; Cie.  </w:t>
        <w:br/>
        <w:t xml:space="preserve">4. The draft shareholders' agreement of DNCA* &amp; Cie provides that the company will have a board of directors that will decide on all strategic decisions. This board of directors will be composed of […] members appointed by the general meeting of shareholders deciding by simple majority, of which […] members will be proposed by NGAM. The decisions of the board of directors will be made by simple majority. Upon completion of the transaction, NGAM will therefore exercise exclusive control over the company DNCA* &amp; Cie.  </w:t>
        <w:br/>
        <w:t xml:space="preserve">5. Insofar as it results in the exclusive control of the DNCA* group by Natixis Global Asset Management, the operation constitutes a concentration within the meaning of Article L. 430-1 of the Commercial Code.  </w:t>
        <w:br/>
        <w:t>6. The concerned companies together achieved a worldwide turnover excluding taxes of more than 150 million euros (BPCE: […] euros for the fiscal year ending December 31, 2014; DNCA*: […] euros for the same fiscal year). Each of these companies achieved, in France, a turnover exceeding 50 million euros (BPCE: […] euros for the fiscal year ending December 31, 2014; DNCA*: […] euros for the same fiscal year). Given the turnover of the concerned companies, it does not fall under the jurisdiction of the European Union. However, the control thresholds mentioned in Article L. 430-2-I of the Commercial Code are exceeded. The present operation is therefore subject to the provisions of Articles L. 430-3 and following of the Commercial Code.</w:t>
      </w:r>
    </w:p>
    <w:p>
      <w:r>
        <w:t xml:space="preserve">II. Definition of relevant markets  </w:t>
        <w:br/>
        <w:t xml:space="preserve">7. European1 and national2 decision-making practice traditionally distinguishes three categories of services: (i) banking services aimed at individuals and households (retail banking); (ii) banking services aimed at businesses (commercial banking); and (iii) operations on financial markets (corporate and investment banking).  </w:t>
        <w:br/>
        <w:t xml:space="preserve">8. Furthermore, decision-making practice3 has considered distinguishing a market for intermediation in banking operations, distinct from the markets for the provision of banking services.  </w:t>
        <w:br/>
        <w:t xml:space="preserve">9. In the present case, the parties are simultaneously active in the corporate and investment banking sector and to a marginal extent in the retail banking sector. The BPCE group is also present in vertically related markets to  </w:t>
        <w:br/>
        <w:t xml:space="preserve">1 See for example the decisions of the European Commission No. COMP / M.4844, Fortis / ABN AMRO Assets, of October 3, 2007, and No. COMP / M. 2567, Nordbanken / Postgirot of November 8, 2001.  </w:t>
        <w:br/>
        <w:t xml:space="preserve">2 See in particular the letter from the Minister of Economy, Finance and Industry No. 2007-08 of March 26, 2007, to the boards of the Federal Bank of Popular Banks, regarding a concentration in the real estate services sector, the letter from the Minister of Economy, Finance and Industry No. C2006-45 of August 10, 2006, to the boards of the National Savings Banks and the Federal Bank of Popular Banks, regarding a concentration in the banking services sector; the decision of the Competition Authority No. 14-DCC-84 of June 20, 2014, regarding the joint control of the Primonial group by Crédit Mutuel Arkéa and Primonial Management, and the decision of the Competition Authority No. 09-DCC-16 of June 22, 2009, regarding the merger between the Caisse d’Epargne and Banque Populaire groups.  </w:t>
        <w:br/>
        <w:t xml:space="preserve">3 See the letter from the Minister No. 2007-08 mentioned above and the decision of the Competition Authority No. 09-DCC-16 mentioned above.  </w:t>
        <w:br/>
        <w:t xml:space="preserve">* Correction of material error.  </w:t>
        <w:br/>
        <w:t>2</w:t>
      </w:r>
    </w:p>
    <w:p>
      <w:r>
        <w:t>the activity of asset management of UCITS. These markets will therefore be subject to analysis under the heading of vertical effects.</w:t>
      </w:r>
    </w:p>
    <w:p>
      <w:r>
        <w:t xml:space="preserve">A. THE MARKETS OF CORPORATE AND INVESTMENT BANKING  </w:t>
        <w:br/>
        <w:t xml:space="preserve">1. SERVICE MARKETS  </w:t>
        <w:br/>
        <w:t xml:space="preserve">10. Corporate and investment banking encompasses operations on financial markets. The French4 and European5 competition authorities have had the opportunity to distinguish, during the examination of previous merger operations, the markets (i) of asset management on behalf of companies and institutional clients, (ii) of mergers and acquisitions advisory, (iii) of underwriting and placement activities related to the issuance of corporate securities, (iv) of activities and transactions on financial markets, and (v) of activities on money markets.  </w:t>
        <w:br/>
        <w:t xml:space="preserve">11. Decision-making practice6 has considered retaining a segmentation within the market of asset management on behalf of companies and institutional clients between the activities of: (i) portfolio management (excluding real estate assets and excluding UCITS), which consists of optimizing the financial return of a portfolio of securities (stocks and/or bonds) held by a client; (ii) management of mutual funds of the UCITS type (which are divided into SICAV and FCP), which is an activity that consists of managing for the account of companies and institutional clients this type of collective investment funds; (iii) private equity, which consists of an investor entering the capital of unlisted companies that need an equity injection. Several forms of intervention can be distinguished: venture capital to finance the start-up of new companies, development capital to finance the growth of the company, transmission capital (or LBO) intended to support the transfer or sale of the company, turnaround capital to assist in the recovery of a distressed company.  </w:t>
        <w:br/>
        <w:t>12. In this case, the parties are simultaneously present in the management of mutual funds of the UCITS type.</w:t>
      </w:r>
    </w:p>
    <w:p>
      <w:r>
        <w:t xml:space="preserve">2. GEOGRAPHICAL MARKETS  </w:t>
        <w:br/>
        <w:t xml:space="preserve">13. Regarding the markets of corporate and investment banking, competition authorities7 generally consider that these markets have at least a  </w:t>
        <w:br/>
        <w:t xml:space="preserve">4 See in particular the letter from the Minister No. C2006-45 mentioned above and the decision of the Competition Authority No. 14-DCC-84 of June 20, 2014, regarding the joint control of the Primonial group by Crédit Mutuel Arkéa and Primonial Management.  </w:t>
        <w:br/>
        <w:t xml:space="preserve">5 See in particular the decisions of the European Commission dated December 3, 2008, in case COMP/M.5384 BNP Paribas/Fortis; of October 3, 2007, in case COMP/M.4844 Fortis/ABN AMRO Assets; of August 6, 2007, in case COMP/M.4692 Barclays/ABN AMRO; of March 28, 2006, in case COMP/M.4155, BNP Paribas/BNL; of October 18, 2005, in case COMP/M.3894 Unicredito/HVB; of June 2, 2005, in case COMP/M.3740 Barclays Bank/FöreningsSparbanken; of February 6, 1998, in case IV/M.1096 Société Générale/Hambros Bank.  </w:t>
        <w:br/>
        <w:t xml:space="preserve">6 See in particular the letter from the Minister No. C2006-45 mentioned above and the decision of the Competition Authority No. 09-DCC-16 mentioned above.  </w:t>
        <w:br/>
        <w:t xml:space="preserve">7 See in particular the letter from the Minister C2006-45 mentioned above and the decision of the Competition Authority No. 14-DCC-84 of June 20, 2014 mentioned above.  </w:t>
        <w:br/>
        <w:t>3</w:t>
      </w:r>
    </w:p>
    <w:p>
      <w:r>
        <w:rPr>
          <w:b/>
        </w:rPr>
        <w:t>[Pages 4–6]</w:t>
      </w:r>
    </w:p>
    <w:p>
      <w:r>
        <w:t>European. In the present case, the parties to the transaction provided their market shares at the European and national levels.</w:t>
      </w:r>
    </w:p>
    <w:p>
      <w:r>
        <w:t>14. In any event, in the absence of any competitive concerns regardless of the delineation adopted, the question of the exact geographic definition of these markets can be left open.</w:t>
      </w:r>
    </w:p>
    <w:p>
      <w:r>
        <w:t>B. RETAIL BANKING MARKETS</w:t>
      </w:r>
    </w:p>
    <w:p>
      <w:r>
        <w:t>1. SERVICE MARKETS</w:t>
      </w:r>
    </w:p>
    <w:p>
      <w:r>
        <w:t>15. It follows from decision-making practice8 that retail banking encompasses banking services aimed at individuals and households. Furthermore, entrepreneurs have been considered as clients of retail banking, insofar as their needs are closer to those of individuals than those of commercial companies.</w:t>
      </w:r>
    </w:p>
    <w:p>
      <w:r>
        <w:t>16. For this entire clientele, the following markets have been analyzed: the market for current accounts, the market for savings accounts (notably savings bonds and accounts that cannot be immediately mobilized such as term accounts), the market for off-balance-sheet savings (Variable Capital Investment Company, Mutual Fund, and pension funds), the market for mortgage credit, the market for consumer credit, the market for debt restructuring credit, the market for the issuance of payment cards (issuance for the benefit of clients), the market for private banking, and the market for securities custody ("retail custody"). In this case, there is no need to challenge this delineation.</w:t>
      </w:r>
    </w:p>
    <w:p>
      <w:r>
        <w:t>17. Decision-making practice9 has also considered that there exists a distinct market for private banking, which constitutes one of the activity segments of retail banking and can be defined as a comprehensive retail banking service reserved for wealthy clients (high-end financial services aimed at affluent individuals seeking financial and tax advice as well as personalized portfolio management).</w:t>
      </w:r>
    </w:p>
    <w:p>
      <w:r>
        <w:t>18. The parties proposed the existence of a distinct market for the distribution of investment products through wealth management advisors. In this case, the question of the exact delineation of retail banking markets can be left open since the conclusions of the competitive analysis will remain unchanged regardless of the segmentation adopted.</w:t>
      </w:r>
    </w:p>
    <w:p>
      <w:r>
        <w:t>19. The BPCE group and the DNCA* group are simultaneously present in the market segment represented by discretionary management. The BPCE group is also present in the vertically integrated market for off-balance-sheet savings distribution aimed at individuals and households.</w:t>
      </w:r>
    </w:p>
    <w:p>
      <w:r>
        <w:t>8 See the decision of the Competition Authority n° 14-DCC-84 of June 20, 2014, regarding the joint control of the Primonial group by Crédit Mutuel Arkéa and Primonial Management.</w:t>
      </w:r>
    </w:p>
    <w:p>
      <w:r>
        <w:t>9 See the decision of the Competition Authority n° 13-DCC-31 of March 12, 2013, regarding the exclusive control of the European Private Bank by La Banque Postale and the letter from the Minister of Economy, Finance and Industry dated August 10, 2006, to the boards of the National Savings Bank and the Federal Bank of Popular Banks, regarding a concentration in the banking services sector, published in BOCCRF n° 7 bis of September 15, 2006.</w:t>
      </w:r>
    </w:p>
    <w:p>
      <w:r>
        <w:t>2. GEOGRAPHIC MARKETS</w:t>
      </w:r>
    </w:p>
    <w:p>
      <w:r>
        <w:t>20. National and European competition authorities have generally considered that retail banking markets were at most of national dimension, despite some harmonization at the European level10.</w:t>
      </w:r>
    </w:p>
    <w:p>
      <w:r>
        <w:t>21. Decision-making practice11 has also considered that with regard to banking services for individuals, the proximity of branches was an important factor as these are primarily relational activities. It has also emphasized that competitive conditions in metropolitan territory were not homogeneous, particularly given the significant role played by mutual and cooperative networks in the French banking system, differences in the presence of banking groups, the adaptation of commercial strategies to the local competitive context, and the existence of regional banking brands. The competitive analysis has thus been conducted at both the national and local levels, with the practice having retained, for the latter level, circles with a radius corresponding to a journey of about twenty minutes by car around a municipality.</w:t>
      </w:r>
    </w:p>
    <w:p>
      <w:r>
        <w:t>22. There is no need to challenge this delineation in the context of the present transaction.</w:t>
      </w:r>
    </w:p>
    <w:p>
      <w:r>
        <w:t>C. COMMERCIAL BANKING MARKETS</w:t>
      </w:r>
    </w:p>
    <w:p>
      <w:r>
        <w:t>1. SERVICE MARKETS</w:t>
      </w:r>
    </w:p>
    <w:p>
      <w:r>
        <w:t>23. The BPCE group is present in several markets related to the commercial banking sector vertically linked to the activity of managing UCITS-type funds.</w:t>
      </w:r>
    </w:p>
    <w:p>
      <w:r>
        <w:t>24. Commercial banking encompasses banking services aimed at businesses. Decision-making practice has considered12, while leaving the question open, a segmentation of commercial banking markets based on the size of client companies (SMEs or large companies). Similarly, the Competition Authority had considered segmenting the market according to sectors of activity, notably distinguishing a market for credit to farmers. However, in the absence of any impact on the competitive analysis, the precise delineation of the markets can be left open.</w:t>
      </w:r>
    </w:p>
    <w:p>
      <w:r>
        <w:t>25. Regarding segmentation by type of services, the Competition Authority distinguished the following markets: current accounts, corporate savings, investment credits, mortgage credit for professionals, leasing, credit to local authorities, credit insurance, financing of foreign trade, payment cards (acquisition of transactions made by merchants equipped with card payment systems), international payments, remote local payments, and short-term financing products, factoring, and the custody and administration of funds. There is no need, in the context of the present transaction, to challenge this delineation.</w:t>
      </w:r>
    </w:p>
    <w:p>
      <w:r>
        <w:t>2. GEOGRAPHIC MARKETS</w:t>
      </w:r>
    </w:p>
    <w:p>
      <w:r>
        <w:t>26. Decision-making practice13 has considered that it was relevant to conduct the competitive analysis at both the local and national levels.</w:t>
      </w:r>
    </w:p>
    <w:p>
      <w:r>
        <w:t>D. INSURANCE MARKETS</w:t>
      </w:r>
    </w:p>
    <w:p>
      <w:r>
        <w:t>1. SERVICE MARKETS</w:t>
      </w:r>
    </w:p>
    <w:p>
      <w:r>
        <w:t>27. The market for the "production" of insurance products in which the BPCE group is present has a vertical link with the market for asset management of UCITS-type. Decision-making practice14 distinguishes the upstream markets for the "production" of personal and property insurance products and the downstream markets for the distribution of insurance products on behalf of third parties.</w:t>
      </w:r>
    </w:p>
    <w:p>
      <w:r>
        <w:t>28. Regarding the upstream markets for the "production" of insurance products, national and European competition authorities15 distinguish the markets for personal insurance, property insurance, and reinsurance. Concerning the first two categories of products, the competition authorities have deemed that they can be segmented into as many markets as there are insurances covering different types of risks, insofar as, from the demand perspective, insurances covering these different risks are not substitutable16.</w:t>
      </w:r>
    </w:p>
    <w:p>
      <w:r>
        <w:t>2. GEOGRAPHIC MARKETS</w:t>
      </w:r>
    </w:p>
    <w:p>
      <w:r>
        <w:t>29. Regarding geographic delineation, decision-making practice17 has considered that the upstream markets for insurance products were of national dimension.</w:t>
      </w:r>
    </w:p>
    <w:p>
      <w:r>
        <w:t>13 Ibid.</w:t>
      </w:r>
    </w:p>
    <w:p>
      <w:r>
        <w:t>14 See my decision of the Competition Authority n° 13-DCC-126 of September 5, 2013, regarding the control of Sofaxis by the mutual insurance company Sham.</w:t>
      </w:r>
    </w:p>
    <w:p>
      <w:r>
        <w:t>15 See notably the decision of the European Commission n° COMP/M.4284 Axa/Winterthur of August 28, 2006; and the decisions of the Competition Authority n° 10-DCC-52 of June 2, 2010, regarding the creation of a mutual insurance group company ("SGAM") by MACIF, MAIF, and MATMUT, and n° 13-DCC-73 of June 26, 2013, regarding the establishment by the mutuals Harmonie Mutuelle, Mutuelle Nationale de l'Aviation Marine, Mutuelle SMAR, Mutuelle de Mare Gaillard, and La France Mutualiste of a Mutual Group Union "Groupe Harmonie" exclusively controlled by Harmonie Mutuelle.</w:t>
      </w:r>
    </w:p>
    <w:p>
      <w:r>
        <w:t>16 See the decision of the European Commission n° COMP/M.4284 and the decision of the Competition Authority n° 13-DCC-73 of June 26, 2013, cited above.</w:t>
      </w:r>
    </w:p>
    <w:p>
      <w:r>
        <w:t>17 See my decision of the Competition Authority n° 13-DCC-126 of September 5, 2013, regarding the control of Sofaxis by the mutual insurance company Sham.</w:t>
      </w:r>
    </w:p>
    <w:p>
      <w:r>
        <w:rPr>
          <w:b/>
        </w:rPr>
        <w:t>[Pages 7–7]</w:t>
      </w:r>
    </w:p>
    <w:p>
      <w:r>
        <w:t>III. Competitive Analysis</w:t>
      </w:r>
    </w:p>
    <w:p>
      <w:r>
        <w:t>A. ANALYSIS OF HORIZONTAL EFFECTS</w:t>
      </w:r>
    </w:p>
    <w:p>
      <w:r>
        <w:t>30. The activities of the BPCE and DNCA* groups overlap in the asset management market and in the market for banking services aimed at individuals and households. Following the transaction, regardless of the segmentation adopted, the market share of the BPCE group will remain below [5-10]%, with an increment of less than [0-5]%. In these markets, there are also numerous competing operators.</w:t>
      </w:r>
    </w:p>
    <w:p>
      <w:r>
        <w:t>31. The transaction is therefore not likely to harm competition through horizontal effects.</w:t>
      </w:r>
    </w:p>
    <w:p>
      <w:r>
        <w:t>B. ANALYSIS OF VERTICAL EFFECTS</w:t>
      </w:r>
    </w:p>
    <w:p>
      <w:r>
        <w:t>32.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the Competition Authority considers that it is unlikely that a company with a market share of less than 30% in a given market could lock in a downstream or upstream market.</w:t>
      </w:r>
    </w:p>
    <w:p>
      <w:r>
        <w:t>33. The BPCE group is present in certain insurance, retail banking, and commercial banking markets that have a vertical link with the mutual fund management market. However, in these various markets, the position of the BPCE group does not exceed [5-10]%. Therefore, the transaction is not likely to harm competition through vertical effects.</w:t>
      </w:r>
    </w:p>
    <w:p>
      <w:r>
        <w:t>DECIDES</w:t>
      </w:r>
    </w:p>
    <w:p>
      <w:r>
        <w:t>Sole Article: The transaction notified under number 15-052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