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https://www.autoritedelaconcurrence.fr/fr/decision-de-controle-des-concentrations/relative-la-prise-de-controle-exclusif-du-groupe-domia-par</w:t>
      </w:r>
    </w:p>
    <w:p>
      <w:r>
        <w:t>Pages translated : 2</w:t>
      </w:r>
    </w:p>
    <w:p/>
    <w:p>
      <w:r>
        <w:rPr>
          <w:b/>
        </w:rPr>
        <w:t>[Pages 1–2]</w:t>
      </w:r>
    </w:p>
    <w:p>
      <w:r>
        <w:t xml:space="preserve">FRENCH REPUBLIC  </w:t>
        <w:br/>
        <w:t xml:space="preserve">Decision No. 24-DCC-195 of September 16, 2024  </w:t>
        <w:br/>
        <w:t xml:space="preserve">regarding the exclusive control acquisition of the Domia group by Cinven  </w:t>
        <w:br/>
        <w:t>The Competition Authority,</w:t>
      </w:r>
    </w:p>
    <w:p>
      <w:r>
        <w:t>Having regard to the complete notification file sent to the mergers department on August 23, 2024, concerning the exclusive control acquisition of MCP Education International II and MCP Education International (hereinafter, with all their subsidiaries, "Domia group") by BloCin BidCo, an investment vehicle indirectly held by the Eighth Cinven Fund, managed by Cinven Limited (hereinafter, "Cinven"), formalized by the signing, on August 1, 2024, of a put option letter to which a draft share transfer agreement is annexed;</w:t>
      </w:r>
    </w:p>
    <w:p>
      <w:r>
        <w:t>Having regard to Book IV of the Commercial Code relating to the freedom of prices and competition, and in particular its Articles L. 430-1 to L. 430-7;</w:t>
      </w:r>
    </w:p>
    <w:p>
      <w:r>
        <w:t xml:space="preserve">Adopts the following decision:  </w:t>
        <w:br/>
        <w:t xml:space="preserve">1. The notified operation consists of the indirect acquisition by Cinven of the majority of the shares of the companies at the head of the Domia group, which is active in the sector of educational support services and university services, the management of private secondary schools, vocational training, and home assistance services in France. The operation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24-201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