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https://www.autoritedelaconcurrence.fr/fr/decision-de-controle-des-concentrations/relative-la-prise-de-controle-exclusif-du-groupe-douillet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25-DCC-68 of March 21, 2025</w:t>
        <w:br/>
        <w:t>regarding the exclusive control acquisition of the Douillet group by Emil Frey Holding Agri</w:t>
        <w:br/>
        <w:t>The Competition Authority,</w:t>
        <w:br/>
        <w:t>Having regard to the complete notification file submitted to the mergers department on February 21, 2025,</w:t>
        <w:br/>
        <w:t>concerning the exclusive control acquisition of the Douillet group by Emil Frey Holding Agri,</w:t>
        <w:br/>
        <w:t>formalized by a letter of intent dated October 17,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Emil Frey Holding Agri of 100% of the share capital of the company Etablissements Douillet, which operates agricultural equipment dealerships located in Mayenne (53), Orne (61), and Sarthe (72). This operation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24-316 is authorized.</w:t>
        <w:br/>
        <w:t>The Vice-President,</w:t>
        <w:br/>
        <w:t>Thibaud Vergé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