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https://www.autoritedelaconcurrence.fr/fr/decision-de-controle-des-concentrations/relative-la-prise-de-controle-exclusif-du-groupe-dso-par-la</w:t>
      </w:r>
    </w:p>
    <w:p>
      <w:r>
        <w:t>Pages translated : 2</w:t>
      </w:r>
    </w:p>
    <w:p/>
    <w:p>
      <w:r>
        <w:rPr>
          <w:b/>
        </w:rPr>
        <w:t>[Pages 1–2]</w:t>
      </w:r>
    </w:p>
    <w:p>
      <w:r>
        <w:t xml:space="preserve">FRENCH REPUBLIC  </w:t>
        <w:br/>
        <w:t xml:space="preserve">Decision No. 18-DCC-153 of September 14, 2018  </w:t>
        <w:br/>
        <w:t xml:space="preserve">regarding the exclusive control acquisition of the DSO group by the company  </w:t>
        <w:br/>
        <w:t xml:space="preserve">Promontoria MCS Holding  </w:t>
        <w:br/>
        <w:t xml:space="preserve">The Competition Authority,  </w:t>
        <w:br/>
        <w:t xml:space="preserve">Having regard to the complete notification file sent to the mergers department on August 22, 2018,  </w:t>
        <w:br/>
        <w:t xml:space="preserve">concerning the exclusive control acquisition of the DSO group by the company Promontoria MCS Holding,  </w:t>
        <w:br/>
        <w:t xml:space="preserve">formalized by a memorandum of understanding dated June 3,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DSO group by the company  </w:t>
        <w:br/>
        <w:t xml:space="preserve">Promontoria MCS Holding. It constitutes a concentration within the meaning of Article L. 430-1 of the  </w:t>
        <w:br/>
        <w:t xml:space="preserve">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debt collection and debt acquisition, which are consistently defined by the decision-making practice of the competition authorities.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18-124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