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https://www.autoritedelaconcurrence.fr/fr/decision-de-controle-des-concentrations/relative-la-prise-de-controle-exclusif-du-groupe-duc-par-le</w:t>
      </w:r>
    </w:p>
    <w:p>
      <w:r>
        <w:t>Pages translated : 7</w:t>
      </w:r>
    </w:p>
    <w:p/>
    <w:p>
      <w:r>
        <w:rPr>
          <w:b/>
        </w:rPr>
        <w:t>[Pages 1–3]</w:t>
      </w:r>
    </w:p>
    <w:p>
      <w:r>
        <w:t xml:space="preserve">FRENCH REPUBLIC  </w:t>
        <w:br/>
        <w:t xml:space="preserve">Decision No. 17-DCC-10 of January 27, 2017  </w:t>
        <w:br/>
        <w:t>regarding the exclusive control of the Duc group by the Plukon group</w:t>
      </w:r>
    </w:p>
    <w:p>
      <w:r>
        <w:t xml:space="preserve">The Competition Authority,  </w:t>
        <w:br/>
        <w:t xml:space="preserve">Having regard to the notification file sent to the merger service on December 14, 2016, declared complete on December 30, 2016, concerning the exclusive control of Duc SA by Aurelia Investments BV, formalized by a conciliation protocol approved by the Commercial Court of Évry on December 16, 2016;  </w:t>
        <w:br/>
        <w:t xml:space="preserve">Having regard to Book IV of the Commercial Code relating to price freedom and competition, and in particular its Articles L. 430-1 to L. 430-7 and R. 461-1;  </w:t>
        <w:br/>
        <w:t xml:space="preserve">Having regard to the supplementary elements submitted by the parties during the investigation;  </w:t>
        <w:br/>
        <w:t>Adopts the following decision:</w:t>
      </w:r>
    </w:p>
    <w:p>
      <w:r>
        <w:t xml:space="preserve">I. The concerned companies and the operation  </w:t>
        <w:br/>
        <w:t xml:space="preserve">1. The Plukon group (hereinafter "Plukon") is active in the chicken sector, which it purchases live for slaughter in its slaughterhouses1 and markets as fresh meat or processed products. Aurelia Investments BV, created for the purposes of this operation, is indirectly controlled by Plukon Food Group BV, which is itself 100% owned by Bankiva BV, which heads Plukon.  </w:t>
        <w:br/>
        <w:t xml:space="preserve">2. The Duc group (hereinafter "Duc") is one of the main producers of chicken meat in France. In the 1990s, Duc created an integrated supply chain for certified chicken, which includes all stages of its value chain, from the manufacture of poultry feed to its transformation into finished products2. Duc consists of Duc SA and its subsidiaries, namely Charolles Accouvage, Drôme Accouvage, Nutri-Bourgogne, Foncière Duc, SCEA de Varennes, SCI de Varennes, Omega, DRB, and Volefi, which it exclusively controls.  </w:t>
        <w:br/>
        <w:t xml:space="preserve">1 The Plukon group operates 8 slaughterhouses in Europe, none of which are located in France.  </w:t>
        <w:br/>
        <w:t>2 According to the parties, certified chicken is distinguished from standard chicken, Label Rouge chicken, or "Organic Agriculture" chicken. It is a "mid-range" chicken.</w:t>
      </w:r>
    </w:p>
    <w:p>
      <w:r>
        <w:t xml:space="preserve">The company Duc SA is primarily owned by the Verneuil group (68.24%) and the CECAB cooperative (16.82%)3.  </w:t>
        <w:br/>
        <w:t xml:space="preserve">3. Duc has been experiencing significant financial difficulties since 2012. A conciliation procedure was initiated on December 5, 2016, and concluded on December 16, 2016, with a judgment from the Commercial Court of Évry approving a conciliation protocol dated December 14, 2016, which provides for the acquisition of almost all shares of Duc SA by Aurelia Investments BV4.  </w:t>
        <w:br/>
        <w:t xml:space="preserve">4. As it results in the exclusive control of Duc by Plukon, the operation constitutes a concentration operation within the meaning of Article L. 430-1 of the Commercial Code.  </w:t>
        <w:br/>
        <w:t>5. The companies concerned together achieve a total turnover excluding taxes worldwide of more than 150 million euros (Plukon: […] euros for the fiscal year ending December 31, 2015; Duc: […] euros for the same fiscal year). Each of these companies has achieved a turnover in France exceeding 50 million euros (Plukon: […] euros for the fiscal year ending December 31, 2015; Duc: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6. In France, the activities of the parties mainly overlap in the markets for the marketing of poultry meat, in the form of fresh meat and processed products5.  </w:t>
        <w:br/>
        <w:t xml:space="preserve">A. THE PRODUCT MARKETS  </w:t>
        <w:br/>
        <w:t xml:space="preserve">1. THE MARKETING OF FRESH POULTRY MEAT  </w:t>
        <w:br/>
        <w:t xml:space="preserve">7. The Competition Authority distinguishes the markets for fresh poultry meat from frozen products6, relying on the one hand on the necessity for actors to have additional freezing/quick freezing lines, and on the other hand, on the lack of substitutability from the demand perspective between fresh poultry meat products and frozen products.  </w:t>
        <w:br/>
        <w:t xml:space="preserve">8. The decision-making practice also considers that the market for fresh poultry meat can be segmented according to the species concerned, particularly in light of price differences and  </w:t>
        <w:br/>
        <w:t xml:space="preserve">3 A portion of the company's share capital is floating (10.31%) and the remainder is self-held (4.63%).  </w:t>
        <w:br/>
        <w:t xml:space="preserve">4 The operation will be carried out partly through a capital increase of Duc amounting to 11 million euros, fully subscribed by Aurelia Investments BV, and partly through the acquisition by the latter of all shares held by other shareholders of Duc SA, excluding the floating shares. Aurelia Investments BV will then hold 97.75% of the capital of Duc SA.  </w:t>
        <w:br/>
        <w:t xml:space="preserve">5 Although both parties are active in the collection and slaughter of poultry, the geographical markets in which they operate do not overlap.  </w:t>
        <w:br/>
        <w:t>6 See the decision of the Competition Authority No. 15-DCC-14 of February 24, 2015, regarding the joint control of Gastronome Condom by Euralis COOP, SCA Vivadour, Terrena, and Maïsadour.</w:t>
      </w:r>
    </w:p>
    <w:p>
      <w:r>
        <w:t xml:space="preserve">taste7. It notably distinguishes between turkey meat, duck meat, and chicken meat.  </w:t>
        <w:br/>
        <w:t xml:space="preserve">9. The Authority also segments the market for fresh poultry meat based on the presence or absence of a label8. Labeled poultry possesses better organoleptic qualities and is sold at a higher price than so-called "standard" poultry. The Authority9 has also considered the existence of markets for organic fresh poultry meat. Furthermore, given the specificity of the certified poultry sector, in which Duc is active, the segment of certified chickens could be subject to specific examination. Thus, in this case, standard, certified, labeled, and organic chickens will be considered as distinct segments.  </w:t>
        <w:br/>
        <w:t xml:space="preserve">10. Additionally, further segmentation based on distribution channels has been considered in the fresh meat sector, as there are different needs depending on the type of buyers: large and medium-sized food retailers (hereinafter "GMS"), artisan butchers and charcutiers (hereinafter "BCA"), the agri-food industry (hereinafter "IAA"), and out-of-home catering (hereinafter "RHF")10.  </w:t>
        <w:br/>
        <w:t xml:space="preserve">11. Finally, the Authority considers that in the case of fresh poultry meat, it is not relevant to segment the markets between meat sold under private label (hereinafter "MDD") and that sold under manufacturer brand (hereinafter "MDF"), as there is currently no substantial quality gap between these two types of products, with price differences resulting mainly from marketing or commercial costs borne by the MDF11.  </w:t>
        <w:br/>
        <w:t xml:space="preserve">12. In this case, the question of the exact delimitation of these markets can be left open, as the conclusions of the competitive analysis remain unchanged, regardless of the segmentations considered.  </w:t>
        <w:br/>
        <w:t xml:space="preserve">2. THE MARKETING OF PROCESSED PRODUCTS BASED ON POULTRY MEAT  </w:t>
        <w:br/>
        <w:t xml:space="preserve">13. The Authority distinguishes between the markets for fresh meat and the markets for processed products based on meat12. The latter are defined by the European Commission13 as meats from mammals or birds, raw, dried, smoked, or cooked, containing ingredients such as salt or spices. A market for processed products based on poultry meat has thus been identified by the Authority14.  </w:t>
        <w:br/>
        <w:t xml:space="preserve">14. Within the market for processed products based on poultry meat, the Authority distinguishes between fresh products and frozen products, on the grounds that the latter require a line of  </w:t>
        <w:br/>
        <w:t xml:space="preserve">7 See the decisions of the Competition Authority No. 09-DCC-67 of November 23, 2009, regarding the acquisition of Arrivé by LDC Volailles, No. 10-DCC-119 of September 17, 2010, regarding the creation of a full-function joint venture, Fermiers du Sud-Ouest, by Maïsadour and Terrena, No. 10-DCC-122 of September 17, 2010, regarding the joint control of Gastronome Condom by Euralis COOP, SCA Vivadour, Terrena, and Maïsadour, No. 13-DCC-13 of February 12, 2013, regarding the acquisition of certain assets of the Doux group by Glon Sanders Holding, No. 15-DCC-14 mentioned above, and No. 16-DCC-33 of February 24, 2016, regarding the acquisition by LDC Volaille of the slaughtering, marketing, and transport assets of Agrial group.  </w:t>
        <w:br/>
        <w:t xml:space="preserve">8 See decisions No. 09-DCC-67, No. 10-DCC-119, No. 10-DCC-122, No. 13-DCC-13, and No. 15-DCC-14 mentioned above.  </w:t>
        <w:br/>
        <w:t xml:space="preserve">9 See decisions No. 10-DCC-119, No. 10-DCC-122, and No. 13-DCC-13 mentioned above.  </w:t>
        <w:br/>
        <w:t xml:space="preserve">10 Ibid.  </w:t>
        <w:br/>
        <w:t xml:space="preserve">11 Ibid.  </w:t>
        <w:br/>
        <w:t xml:space="preserve">12 See in particular the decision of the Competition Authority No. 16-DCC-26 of February 15, 2016, regarding the exclusive control of Doux by Terrena and the decisions No. 15-DCC-14 and No. 16-DCC-33 mentioned above.  </w:t>
        <w:br/>
        <w:t xml:space="preserve">13 See the decision of the European Commission No. IV/M.1313 Danish Crown/Vestjysjke of March 9, 1999.  </w:t>
        <w:br/>
        <w:t>14 See decisions No. C2008-27, No. 09-DCC-67, and No. 15-DCC-14 mentioned above.</w:t>
      </w:r>
    </w:p>
    <w:p>
      <w:r>
        <w:rPr>
          <w:b/>
        </w:rPr>
        <w:t>[Pages 4–6]</w:t>
      </w:r>
    </w:p>
    <w:p>
      <w:r>
        <w:t>additional freezing/quick freezing and that these two types of products are not substitutable from the demand perspective15.</w:t>
      </w:r>
    </w:p>
    <w:p>
      <w:r>
        <w:t>15. Similar to the decision-making practice in the fresh meat sector, the market for processed products can also be segmented according to the distribution channel (GMS, IAA, RHF, and BCA)16. The role of brands, packaging, and the mode of product commercialization indeed differ significantly for each of these channels.</w:t>
      </w:r>
    </w:p>
    <w:p>
      <w:r>
        <w:t>16. Furthermore, national decision-making practice has considered it appropriate to segment based on the type of "specialties," distinguishing between raw processed products based on poultry meat, cooked processed products based on poultry meat, poultry charcuterie, and confits17.</w:t>
      </w:r>
    </w:p>
    <w:p>
      <w:r>
        <w:t>17. Finally, it has estimated that due to differences in price, taste, quality, and level of processing, cooked processed products sold under private labels do not belong to the same market as products sold under national brands18. In contrast, such a distinction is not considered for raw processed products19.</w:t>
      </w:r>
    </w:p>
    <w:p>
      <w:r>
        <w:t>18. In this case, the question of the exact delimitation of these markets may be left open, with the conclusions of the competitive analysis remaining unchanged, regardless of the segmentations considered.</w:t>
      </w:r>
    </w:p>
    <w:p>
      <w:r>
        <w:t>B. GEOGRAPHICAL MARKETS</w:t>
      </w:r>
    </w:p>
    <w:p>
      <w:r>
        <w:t>1. THE MARKETING OF FRESH POULTRY MEAT</w:t>
      </w:r>
    </w:p>
    <w:p>
      <w:r>
        <w:t>19. According to decision-making practice20, competition in the fresh poultry meat markets operates at the national level due to production, preservation, and delivery constraints.</w:t>
      </w:r>
    </w:p>
    <w:p>
      <w:r>
        <w:t>20. Nevertheless, the significant increase in imports in the poultry sector is likely to broaden the geographical scope of these markets. As the Authority has already noted in a recent decision, "the respondents to the market test agree that the market is expected, at least in the long term, to take on a European dimension. Competitors active in the market have also unanimously highlighted the increase in imports of fresh meat products in the sector, explaining this trend by the better competitiveness of foreign suppliers"21.</w:t>
      </w:r>
    </w:p>
    <w:p>
      <w:r>
        <w:t>21. In this instance, there is no need to challenge the geographical delimitation of these markets, which will be analyzed at the national level.</w:t>
      </w:r>
    </w:p>
    <w:p>
      <w:r>
        <w:t>15 See decision n° 15-DCC-14 cited above.</w:t>
      </w:r>
    </w:p>
    <w:p>
      <w:r>
        <w:t>16 See decisions n° 10-DCC-119, n° 10-DCC-122, and n° 15-DCC-14 cited above.</w:t>
      </w:r>
    </w:p>
    <w:p>
      <w:r>
        <w:t>17 Ibid.</w:t>
      </w:r>
    </w:p>
    <w:p>
      <w:r>
        <w:t>18 Ibid.</w:t>
      </w:r>
    </w:p>
    <w:p>
      <w:r>
        <w:t>19 See decisions n° 15-DCC-14, n° 16-DCC-26, and n° 16-DCC-33 cited above.</w:t>
      </w:r>
    </w:p>
    <w:p>
      <w:r>
        <w:t>20 See decisions n° 09-DCC-67, n° 10-DCC-119, n° 10-DCC-122, n° 13-DCC-13, and n° 15-DCC-14 cited above.</w:t>
      </w:r>
    </w:p>
    <w:p>
      <w:r>
        <w:t>21 See decision n° 15-DCC-14 cited above.</w:t>
      </w:r>
    </w:p>
    <w:p>
      <w:r>
        <w:t>2. THE MARKETING OF PROCESSED PRODUCTS BASED ON POULTRY MEAT</w:t>
      </w:r>
    </w:p>
    <w:p>
      <w:r>
        <w:t>22. Decision-making practice22 considers that the markets for the marketing of processed products based on poultry meat are of national dimension. Nevertheless, in light of a development comparable to that observed in the market for the marketing of fresh poultry meat, it cannot be ruled out that the geographical dimension of these markets is broader.</w:t>
      </w:r>
    </w:p>
    <w:p>
      <w:r>
        <w:t>23. In this instance, there is no need to challenge the geographical delimitation of these markets, which will be analyzed at the national level.</w:t>
      </w:r>
    </w:p>
    <w:p>
      <w:r>
        <w:t>III. Competitive Analysis</w:t>
      </w:r>
    </w:p>
    <w:p>
      <w:r>
        <w:t>24. The operation has horizontal effects on the markets for the marketing of fresh poultry meat (A) and processed products based on poultry meat (B), as well as conglomerate effects on the markets for the marketing of poultry meat given the complementarity of the products marketed by the parties (C).</w:t>
      </w:r>
    </w:p>
    <w:p>
      <w:r>
        <w:t>A. ANALYSIS OF HORIZONTAL EFFECTS ON THE MARKETS FOR THE MARKETING OF FRESH POULTRY MEAT</w:t>
      </w:r>
    </w:p>
    <w:p>
      <w:r>
        <w:t>25. In the French market for the marketing of fresh poultry meat, where the new entity will hold a cumulative market share of less than [10-20]%, the activities of the parties overlap, on the one hand, in the area of fresh standard chickens intended for GMS and, on the other hand, in the area of fresh standard chickens intended for IAA.</w:t>
      </w:r>
    </w:p>
    <w:p>
      <w:r>
        <w:t>26. Regarding the marketing of fresh standard chickens intended for GMS, the market shares of Plukon and Duc are estimated at approximately [10-20]% and [5-10]%, respectively, resulting in a cumulative market share of [10-20]%.</w:t>
      </w:r>
    </w:p>
    <w:p>
      <w:r>
        <w:t>27. Regarding the marketing of fresh standard chickens intended for IAA, the market shares of Plukon and Duc are estimated at approximately [0-5]% and [10-20]%, respectively, resulting in a cumulative market share of [10-20]%.</w:t>
      </w:r>
    </w:p>
    <w:p>
      <w:r>
        <w:t>28. In these two markets, the parties face strong competition from European and national players, such as, in particular, the Wiesenhof and LDC groups, which have larger market shares than the parties at the European level.</w:t>
      </w:r>
    </w:p>
    <w:p>
      <w:r>
        <w:t>29. Therefore, the operation is not likely to harm competition through horizontal effects in the markets for the marketing of fresh poultry meat.</w:t>
      </w:r>
    </w:p>
    <w:p>
      <w:r>
        <w:t>22 See decisions n° 09-DCC-67 and n° 15-DCC-14 cited above.</w:t>
      </w:r>
    </w:p>
    <w:p>
      <w:r>
        <w:t>B. ANALYSIS OF HORIZONTAL EFFECTS ON THE MARKET FOR THE MARKETING OF PROCESSED PRODUCTS BASED ON POULTRY MEAT</w:t>
      </w:r>
    </w:p>
    <w:p>
      <w:r>
        <w:t>30. In the French market for the marketing of processed products based on poultry meat, the activities of the parties overlap only in the area of raw products distributed in GMS23.</w:t>
      </w:r>
    </w:p>
    <w:p>
      <w:r>
        <w:t>31. Plukon's market share is estimated at a maximum of 5%, and Duc's share is between 5% and 10%, so the new entity will hold a market share between 10% and 15% in this market.</w:t>
      </w:r>
    </w:p>
    <w:p>
      <w:r>
        <w:t>32. Given this limited position, the operation is not likely to harm competition through horizontal effects in the market for the marketing of processed products based on poultry meat.</w:t>
      </w:r>
    </w:p>
    <w:p>
      <w:r>
        <w:t>C. ANALYSIS OF CONGLOMERATE EFFECTS</w:t>
      </w:r>
    </w:p>
    <w:p>
      <w:r>
        <w:t>33. A concentration is likely to lead to conglomerate effects when the new entity extends or strengthens its presence in markets that are connected to other markets where it holds market power. Some conglomerate concentrations can indeed produce restrictive competition effects when they allow the new entity's product sales to be linked, technically or commercially, in a way that locks the market and excludes competitors.</w:t>
      </w:r>
    </w:p>
    <w:p>
      <w:r>
        <w:t>34. However, the guidelines of the Competition Authority indicate that it is unlikely that a concentration will pose a risk of conglomerate effect if the new entity does not have a strong position in a market from which it can leverage an effect. The guidelines refer, in this regard, to a threshold of 30% market share for assessing this market position.</w:t>
      </w:r>
    </w:p>
    <w:p>
      <w:r>
        <w:t>35. In this instance, the operation is likely to provide the new entity with an expanded range of products in the poultry marketing sector as the activities of the parties are essentially complementary. Duc is active in the market for the marketing of fresh certified chicken meat, while Plukon primarily markets standard chickens.</w:t>
      </w:r>
    </w:p>
    <w:p>
      <w:r>
        <w:t>36. At the national level, Plukon's market shares remain limited and, in any case, they remain below 15% according to the segments considered. Duc's highest market shares concern the segments of fresh certified chickens (approximately [20-30]%) and certified turkeys (approximately [30-40%]) distributed in GMS.</w:t>
      </w:r>
    </w:p>
    <w:p>
      <w:r>
        <w:t>37. In any case, the hypothesis of a foreclosure scenario through conglomerate effects can be ruled out. As the Authority noted in a recent decision, "the market test indeed revealed that it was not necessary to have an extensive product range to be competitive. Furthermore, several competitors of the parties to the concentration […] offer an extensive range of products and appear capable of replicating a potential bundling and/or tying strategy of the new entity. Finally, the strong market power of GMS must be taken into account"24.</w:t>
      </w:r>
    </w:p>
    <w:p>
      <w:r>
        <w:t>23 For the record, decision-making practice does not distinguish between private labels and national brands regarding raw products distributed in GMS.</w:t>
      </w:r>
    </w:p>
    <w:p>
      <w:r>
        <w:t>24 See decision n° 16-DCC-26 cited above.</w:t>
      </w:r>
    </w:p>
    <w:p>
      <w:r>
        <w:rPr>
          <w:b/>
        </w:rPr>
        <w:t>[Pages 7–7]</w:t>
      </w:r>
    </w:p>
    <w:p>
      <w:r>
        <w:t>38. In this case, even though Duc holds slightly above-threshold positions in two market segments from which a leverage effect can be identified, the new entity will still face competition from players who also offer a wide range of products and who are capable of replicating any potential bundled and/or tied offers from the new entity. This includes companies such as LDC and Galliance25. Furthermore, the customers affected by these potential conglomerate effects are the GMS, which have significant counter-power through powerful purchasing centers, especially since they have the capacity to compete the parties' products with imported products from Europe.</w:t>
      </w:r>
    </w:p>
    <w:p>
      <w:r>
        <w:t>39. Given these elements, the operation is therefore not likely to harm competition through conglomerate effects.</w:t>
      </w:r>
    </w:p>
    <w:p>
      <w:r>
        <w:t>DECIDES</w:t>
      </w:r>
    </w:p>
    <w:p>
      <w:r>
        <w:t>Sole Article: The operation notified under number 16-266 is authorized.</w:t>
      </w:r>
    </w:p>
    <w:p>
      <w:r>
        <w:t>The President,</w:t>
        <w:br/>
        <w:t>Isabelle de Silva</w:t>
        <w:br/>
        <w:t>© Competition Authority</w:t>
      </w:r>
    </w:p>
    <w:p>
      <w:r>
        <w:t>25 Galliance is the poultry division of the Terrena group, bringing together the activities of Gastronome and Doux following the exclusive control of Doux by Terrena, authorized by the Authority on February 15,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