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https://www.autoritedelaconcurrence.fr/fr/decision-de-controle-des-concentrations/relative-la-prise-de-controle-exclusif-du-groupe-dufourmont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11-DCC-196 of December 20, 2011  </w:t>
        <w:br/>
        <w:t xml:space="preserve">regarding the exclusive control acquisition of the Dufourmont group  </w:t>
        <w:br/>
        <w:t xml:space="preserve">by the Conforama group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December 1, 2011, concerning the exclusive control acquisition of the Dufourmont group by the  </w:t>
        <w:br/>
        <w:t xml:space="preserve">Conforama group, materialized by purchase commitment letters dated November 15, 2011;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Conforama  </w:t>
        <w:br/>
        <w:t xml:space="preserve">Developpement, active in the retail trade of household appliances, furniture products, and  </w:t>
        <w:br/>
        <w:t xml:space="preserve">bazar and decoration products, of the Dufourmont group, active in the same sector through two stores under the Conforama brand located respectively in  </w:t>
        <w:br/>
        <w:t xml:space="preserve">Châteauroux (36) and Limoges (87). This operation constitutes a concentration operation  </w:t>
        <w:br/>
        <w:t xml:space="preserve">within the meaning of Article L. 430-1 of the Commercial Code. Given the turnover  </w:t>
        <w:br/>
        <w:t xml:space="preserve">achieved by the concerned companies, the operation does not have a community dimension.  </w:t>
        <w:br/>
        <w:t xml:space="preserve">On the other hand, the retail control thresholds mentioned in point II of  </w:t>
        <w:br/>
        <w:t xml:space="preserve">Article L. 430-2 of 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11-0232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