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https://www.autoritedelaconcurrence.fr/fr/decision-de-controle-des-concentrations/relative-la-prise-de-controle-exclusif-du-groupe-dugardin</w:t>
      </w:r>
    </w:p>
    <w:p>
      <w:r>
        <w:t>Pages translated : 2</w:t>
      </w:r>
    </w:p>
    <w:p/>
    <w:p>
      <w:r>
        <w:rPr>
          <w:b/>
        </w:rPr>
        <w:t>[Pages 1–2]</w:t>
      </w:r>
    </w:p>
    <w:p>
      <w:r>
        <w:t xml:space="preserve">FRENCH REPUBLIC  </w:t>
        <w:br/>
        <w:t xml:space="preserve">Decision No. 24-DCC-90 of May 13, 2024  </w:t>
        <w:br/>
        <w:t xml:space="preserve">regarding the exclusive control acquisition of the Dugardin group by the  </w:t>
        <w:br/>
        <w:t xml:space="preserve">company Grands Garages du Pas-de-Calais  </w:t>
        <w:br/>
        <w:t xml:space="preserve">The Competition Authority,  </w:t>
        <w:br/>
        <w:t xml:space="preserve">Having regard to the complete notification file sent to the mergers department on April 19, 2024,  </w:t>
        <w:br/>
        <w:t xml:space="preserve">concerning the exclusive control acquisition of the company Dugardin Investissement by the company Grands  </w:t>
        <w:br/>
        <w:t xml:space="preserve">Garages du Pas-de-Calais, formalized by a letter of intent dated March 20, 2024;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Grands Garages du  </w:t>
        <w:br/>
        <w:t xml:space="preserve">Pas-de-Calais of the company Dugardin Investissement, as well as several automobile distribution business assets in the departments of Nord (59) and Pas-de-Calais (62). It constitutes a concentration operation within the meaning of Article L. 430-1 of the Commercial Code. Given the turnover generated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24-055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