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https://www.autoritedelaconcurrence.fr/fr/decision-de-controle-des-concentrations/relative-la-prise-de-controle-exclusif-du-groupe-dupont</w:t>
      </w:r>
    </w:p>
    <w:p>
      <w:r>
        <w:t>Pages translated : 2</w:t>
      </w:r>
    </w:p>
    <w:p/>
    <w:p>
      <w:r>
        <w:rPr>
          <w:b/>
        </w:rPr>
        <w:t>[Pages 1–2]</w:t>
      </w:r>
    </w:p>
    <w:p>
      <w:r>
        <w:t xml:space="preserve">FRENCH REPUBLIC  </w:t>
        <w:br/>
        <w:t xml:space="preserve">Decision No. 17-DCC-162 of October 6, 2017  </w:t>
        <w:br/>
        <w:t xml:space="preserve">regarding the exclusive control acquisition of the Dupont Restauration group  </w:t>
        <w:br/>
        <w:t xml:space="preserve">by the Crédit Mutuel group  </w:t>
        <w:br/>
        <w:t xml:space="preserve">The Competition Authority,  </w:t>
        <w:br/>
        <w:t xml:space="preserve">Having regard to the complete notification file sent to the mergers department on September 12, 2017, concerning the exclusive control acquisition of the Dupont Restauration group by the Crédit Mutuel group, formalized by a purchase promise dated July 6, 2017;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Groupe Crédit Mutuel, via its subsidiary CM-CIC Investissement SCR, of the Dupont Restauration group. It constitutes a concentration within the meaning of Article L. 430-1 of the Commercial Code. Given the turnover achieved by the concerned companies, the operation does not fall under the jurisdiction of the European Union. However, the control thresholds provided for in point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collective catering, concession catering, operation of commercial restaurants, catering-reception organizers, supply of food products, and industrial cleaning, markets in which the Dupont Restauration group is solely active. The Crédit Mutuel group does not hold any stake in companies active in the same markets as the Dupont group but does hold stakes in companies that are marginally active in certain upstream markets related to the markets in which the target is active or that have connectivity links with them.  </w:t>
        <w:br/>
        <w:t xml:space="preserve">3. However, regardless of the segmentations retained, the estimated market shares of the parties are below 5.4%.  </w:t>
        <w:br/>
        <w:t>4. Given the elements of the file and in accordance with point 384 of the guidelines of the Competition Authority relating to the control of concentrations, the operation is not likely to harm competition through vertical or conglomerate effects.</w:t>
      </w:r>
    </w:p>
    <w:p>
      <w:r>
        <w:t xml:space="preserve">DECIDES  </w:t>
        <w:br/>
        <w:t xml:space="preserve">Sole Article: The operation notified under number 17-156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