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https://www.autoritedelaconcurrence.fr/fr/decision-de-controle-des-concentrations/relative-la-prise-de-controle-exclusif-du-groupe-dutscher</w:t>
      </w:r>
    </w:p>
    <w:p>
      <w:r>
        <w:t>Pages translated : 2</w:t>
      </w:r>
    </w:p>
    <w:p/>
    <w:p>
      <w:r>
        <w:rPr>
          <w:b/>
        </w:rPr>
        <w:t>[Pages 1–2]</w:t>
      </w:r>
    </w:p>
    <w:p>
      <w:r>
        <w:t xml:space="preserve">FRENCH REPUBLIC  </w:t>
        <w:br/>
        <w:t xml:space="preserve">Decision No. 20-DCC-77 of June 3, 2020  </w:t>
        <w:br/>
        <w:t xml:space="preserve">regarding the exclusive control acquisition of the Dutscher group by LBO France Gestion  </w:t>
        <w:br/>
        <w:t xml:space="preserve">The Competition Authority,  </w:t>
        <w:br/>
        <w:t xml:space="preserve">Having regard to the complete notification file sent to the mergers department on May 7, 2020, concerning the exclusive control acquisition of the Dutscher group by LBO France Gestion, formalized by a purchase promise dated February 27, 2020, and the exercise of this purchase option on March 23, 2020;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by the investment company LBO France Gestion of the Dutscher group, which is primarily active in the manufacturing and distribution of laboratory equipment and consumables.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20-060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