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https://www.autoritedelaconcurrence.fr/fr/decision-de-controle-des-concentrations/relative-la-prise-de-controle-exclusif-du-groupe-dyomedea</w:t>
      </w:r>
    </w:p>
    <w:p>
      <w:r>
        <w:t>Pages translated : 14</w:t>
      </w:r>
    </w:p>
    <w:p/>
    <w:p>
      <w:r>
        <w:rPr>
          <w:b/>
        </w:rPr>
        <w:t>[Pages 1–3]</w:t>
      </w:r>
    </w:p>
    <w:p>
      <w:r>
        <w:t>FRENCH REPUBLIC</w:t>
        <w:br/>
        <w:t>Decision No. 20-DCC-92 of July 24, 2020</w:t>
        <w:br/>
        <w:t>regarding the exclusive control of the Dyomedea-Neolab group</w:t>
        <w:br/>
        <w:t>by the Biogroup</w:t>
        <w:br/>
        <w:t>The Competition Authority,</w:t>
        <w:br/>
        <w:t>Having regard to the notification file sent to the merger service on February 12, 2020, and declared complete on March 9, 2020, regarding the exclusive control of the Dyomedea-Neolab group by the Biogroup, formalized by a merger protocol dated January 31, 2020;</w:t>
        <w:br/>
        <w:t>Having regard to Book IV of the Commercial Code relating to the freedom of prices and competition, and in particular its Articles L. 430-1 to L. 430-7;</w:t>
        <w:br/>
        <w:t>Having regard to the commitments presented on June 26, 2020, and last modified on July 16, 2020, by the Biogroup;</w:t>
        <w:br/>
        <w:t>Having regard to the additional elements transmitted by the notifying party during the investigation;</w:t>
        <w:br/>
        <w:t>Having regard to the other documents in the file;</w:t>
        <w:br/>
        <w:t>Adopts the following decision:</w:t>
      </w:r>
    </w:p>
    <w:p>
      <w:r>
        <w:t>Summary1</w:t>
        <w:br/>
        <w:t>By means of the decision below, the Authority examined the acquisition of the Dyomedea-Neolab group by the Biogroup.</w:t>
        <w:br/>
        <w:t>The parties are simultaneously active in the markets for the supply of equipment, reagents, and consumables for biology and in the markets for "routine" and specialized medical biology examinations.</w:t>
        <w:br/>
        <w:t>While the operation does not raise competition concerns in the upstream supply markets from suppliers and in the market for specialized medical biology examinations, the Authority considered that there are serious risks of harm to competition in the market for "routine" medical biology examinations in the Rhône department.</w:t>
        <w:br/>
        <w:t>Within this department, the strengthening of the new entity's position in the considered market is not compensated by a credible and sufficient alternative offer from competing operators. In the Rhône department, the operation is therefore likely to harm competition.</w:t>
        <w:br/>
        <w:t>In order to address these competition concerns, the Biogroup has committed to divest, to one or more operators approved by the Authority, seven medical analysis sites in the Rhône department.</w:t>
        <w:br/>
        <w:t>These commitments are likely to ensure the maintenance of a sufficient competitive structure in the concerned area. Indeed, they allow for a reduction in the market share of the new entity in the concerned department.</w:t>
        <w:br/>
        <w:t>Given the commitments made by the Biogroup, the Authority authorized the present operation following a phase 1 review.</w:t>
        <w:br/>
        <w:t>1</w:t>
        <w:br/>
        <w:t>This summary is strictly informative. Only the reasons for the decision numbered below are authoritative.</w:t>
        <w:br/>
        <w:t>2</w:t>
      </w:r>
    </w:p>
    <w:p>
      <w:r>
        <w:t>I. The companies involved and the transaction</w:t>
        <w:br/>
        <w:t>1. The Biogroup (hereinafter "Biogroup"), ultimately controlled by Mr. Eimer via the company Laboratoire Eimer, is primarily active in the sector of routine medical biology and specialized medical biology. Biogroup is present throughout the territory through a network of more than 550 medical biology sites.</w:t>
        <w:br/>
        <w:t>2. The Dyomedea-Neolab group (hereinafter "Dyomedea-Neolab") is primarily active in the sector of routine medical biology and specialized medical biology through 43 medical biology sites located within the Auvergne-Rhône-Alpes region.</w:t>
        <w:br/>
        <w:t>3. The transaction, formalized by a merger protocol dated January 31, 2020, consists of the acquisition by Unilians2, a subsidiary of Biogroup, of 49.02% of the capital and voting rights and [70-80]% of the financial rights of the simplified joint-stock companies (hereinafter "SELAS") comprising Dyomedea-Neolab, the remainder of the rights being held by the biologists practicing in these companies.</w:t>
        <w:br/>
        <w:t>4. The draft statutes of each SELAS provide that the president must inform the partners holding individually at least 30% of the share capital of the contemplated strategic decisions. The latter may request the convening of a partners' meeting in order to decide collectively on the concerned decision. Collective decisions will be adopted by a two-thirds majority. However, in accordance with point 32 of the guidelines of the Competition Authority regarding the control of concentrations, "[...] A company may hold exclusive control over another company [...] when it is the only one able to block the strategic decisions of the other company, without being able to impose, alone, these decisions (this is referred to as 'negative' exclusive control)." In this case, even if it does not hold the majority of the capital and voting rights, Biogroup will be able to solely block the strategic decisions of the SELAS as it will hold more than one-third of the votes. No other partner will be in this case.</w:t>
        <w:br/>
        <w:t>5. As it results in the exclusive control of Dyomedea-Neolab by Biogroup, the notified operation constitutes a concentration within the meaning of Article L. 430-1 of the Commercial Code.</w:t>
        <w:br/>
        <w:t>6. The companies involved together achieve a total worldwide turnover of more than 150 million euros (Biogroup: [≥150] million euros for the fiscal year ending December 31, 2018; Dyomedea-Neolab: [≤150] million euros for the fiscal year ending September 31, 2019). Each of these companies achieves, in France, a turnover exceeding 50 million euros (Biogroup: [≥50] million euros for the fiscal year ending December 31, 2018; Dyomedea-Neolab: [≥50] million euros for the fiscal year ending September 31, 2019). Given these turnover figures, the operation does not have a European dimension. However, the control thresholds mentioned in I of Article L. 430-2 of the Commercial Code are exceeded. The present operation is therefore subject to the provisions of Articles L. 430-3 and following of the Commercial Code, relating to economic concentration.</w:t>
        <w:br/>
        <w:t>2</w:t>
        <w:br/>
        <w:t>The exclusive control of the company Unilians by Biogroup was examined in the context of Decision 19-DCC-60 of April 9, 2019, regarding the exclusive control of the company Unilians by the Biogroup LCD.</w:t>
      </w:r>
    </w:p>
    <w:p>
      <w:r>
        <w:rPr>
          <w:b/>
        </w:rPr>
        <w:t>[Pages 4–6]</w:t>
      </w:r>
    </w:p>
    <w:p>
      <w:r>
        <w:t>II. Definition of Relevant Markets</w:t>
        <w:br/>
        <w:t>7. The parties are simultaneously active, as buyers, in the market for the supply of biology equipment, reagents, and consumables (A).</w:t>
        <w:br/>
        <w:t>8. The parties are also simultaneously active in the field of medical biology. Indeed, Biogroup and Dyomedea-Neolab both own medical analysis laboratories whose activity consists of providing medical biology examinations (B).</w:t>
        <w:br/>
        <w:t>A. MARKETS FOR THE SUPPLY OF BIOLOGY EQUIPMENT, REAGENTS, AND CONSUMABLES</w:t>
        <w:br/>
        <w:t>1. PRODUCT MARKETS</w:t>
        <w:br/>
        <w:t>9. The decision-making practice has considered segmenting the market for the supply of reagents and consumables in biology into nearly as many sectors of activity as there are products or consumables concerned by the analyses (culture media and sera, products for gene activation, magnetic beads, etc.). The European Commission has thus adopted the classification of in vitro diagnostic products used by the European Diagnostic Manufacturers Association ("EDMA"), which classifies reagents and consumables into six main categories ("first level"): clinical chemistry, immunochemistry, hematology/histology, microbiology, infectious immunology, and genetic tests, and then into additional subcategories within each of them.</w:t>
        <w:br/>
        <w:t>10. In any case, the question of the exact definition of the markets for the supply of reagents and consumables in biology can be left open insofar as, regardless of the delimitation chosen, the conclusions of the competitive analysis remain unchanged.</w:t>
        <w:br/>
        <w:t>2. GEOGRAPHICAL MARKETS</w:t>
        <w:br/>
        <w:t>11. The decision-making practice considers that the geographical dimension of the markets for the supply of biology equipment, reagents, and consumables can be European, or even global. While leaving the question open, it has also examined, in previous operations, the effects on the network of suppliers and wholesalers at the national level only.</w:t>
        <w:br/>
        <w:t>12. In any case, the question of the exact delimitation of these markets can be left open insofar as, regardless of the delimitation chosen, the conclusions of the competitive analysis remain unchanged.</w:t>
      </w:r>
    </w:p>
    <w:p>
      <w:r>
        <w:t>B. MARKETS FOR THE PROVISION OF MEDICAL BIOLOGY EXAMINATIONS</w:t>
        <w:br/>
        <w:t>1. SERVICE MARKETS</w:t>
        <w:br/>
        <w:t>13. In accordance with Article L. 6211-1 of the Public Health Code (hereinafter "CSP"), a medical biology examination is "a medical act that contributes to the prevention, screening, diagnosis, or assessment of the risk of occurrence of pathological states, to the decision and therapeutic management, to the determination or monitoring of the physiological or pathophysiological state of the human being [...]".</w:t>
        <w:br/>
        <w:t>14. Medical biology examinations consist of three phases: a pre-analytical phase, which includes the collection of a biological sample and its transport to the location where it is analyzed, an analytical phase, and a post-analytical phase of interpretation and communication of the result to the prescriber. They are performed by a medical biologist or, for certain phases, under their responsibility, within a medical biology laboratory (hereinafter "LBM"), such as those owned by the parties.</w:t>
        <w:br/>
        <w:t>15. Public health considerations inspire the provisions that govern the activity of LBMs. A laboratory can thus be established, within the framework set by Article L. 6212-1 of the Public Health Code, on one or more sites. Samples can thus be collected at one site and transferred to another site of the same LBM, equipped with a technical platform, where the analytical phase is performed. Each site of an LBM must have at least one biologist capable of meeting the needs of the site, pursuant to Article L. 6222-6 of the Public Health Code. The activity of LBMs can only be subcontracted in limited proportions. Furthermore, in order to ensure the continuity of the provision of medical biology, territoriality rules apply to LBMs. These include rules regarding the acquisition of social rights or mergers between LBMs, compliance with which falls solely under the control of the regional health agencies (ARS).</w:t>
        <w:br/>
        <w:t>16. In their previous decision-making practice, national and European competition authorities have identified a market for the provision of medical biology examinations. They have also considered, while leaving the question open, a segmentation between "routine" examinations and specialized examinations. Indeed, practice indicates that the activity of routine medical biology laboratories is not substitutable for that of specialized laboratories that handle rare biology acts and are subject to specific ministerial approval.</w:t>
        <w:br/>
        <w:t>17. The demand for routine medical biology examinations primarily comes from patients, while the demand for specialized examinations comes from LBMs and hospitals.</w:t>
      </w:r>
    </w:p>
    <w:p>
      <w:r>
        <w:t>Regarding the provision of specialized medical biology examinations, it primarily originates from a few laboratories such as Cerba, Eurofins Biomnis, BPR, and university hospital centers. It partly consists of subcontracting services entrusted by LBMs, however, limited to 15% of the total activities of the LBM.</w:t>
      </w:r>
    </w:p>
    <w:p>
      <w:r>
        <w:t>18. Furthermore, the decision-making practice of national and European authorities has considered that in terms of the provision of diagnostics and care, it was not relevant to distinguish the offer based on whether it comes from private or public establishments.</w:t>
        <w:br/>
        <w:t>19. The Authority has considered that the decision-making practice regarding the provision of diagnostics and care also applies to medical biology, which is subject to a comparable legal regime. Indeed, patients are free to have their analyses performed in a private medical biology laboratory or a public hospital. Furthermore, in France, the pricing of medical biology examinations is subject to a nomenclature that applies to the various operators. Additionally, the costs of medical analyses are almost entirely covered by public funding sources (mainly social security) or private (mutuals and insurance, in particular). Finally, medical analysis laboratories, whether private or public, are subject to a common legal framework and must, in particular, be accredited.</w:t>
        <w:br/>
        <w:t>20. This finding is also evident from the market test as well as the elements collected during the investigation. Indeed, the majority of public hospitals surveyed during the market test indicate that it is not relevant to operate a segmentation based on whether the provision of medical biology examination services comes from public hospitals or private laboratories, provided that, concerning public hospitals, this offer is open to external individuals.</w:t>
        <w:br/>
        <w:t>21. Therefore, it does not appear relevant to operate a segmentation of the provision of medical biology examination services based on whether it comes from public hospitals or private laboratories.</w:t>
      </w:r>
    </w:p>
    <w:p>
      <w:r>
        <w:rPr>
          <w:b/>
        </w:rPr>
        <w:t>[Pages 7–9]</w:t>
      </w:r>
    </w:p>
    <w:p>
      <w:r>
        <w:t xml:space="preserve">22. In this case, the competitive analysis will be conducted on the market for the provision of medical biology examinations, as well as on the sub-segments related to specialized examinations and "routine" examinations.  </w:t>
        <w:br/>
        <w:t xml:space="preserve">2. GEOGRAPHICAL MARKETS  </w:t>
        <w:br/>
        <w:t xml:space="preserve">23. The decision-making practice has considered, while leaving the question open, to retain a national dimension for the market of specialized medical biology examinations and a local dimension for the market of routine medical biology examinations. Indeed, the demand and supply for routine analyses are located at the local level, which is not the case for specialized analyses where the suppliers are relatively few. Thus, the competition authorities have examined the effects of operations in this sector at the regional or sub-regional level, even at the departmental level.  </w:t>
        <w:br/>
        <w:t xml:space="preserve">24. In this case, the competitive analysis will be conducted at the national level for specialized medical biology examinations and at the national, regional, and departmental levels for routine medical biology examinations.  </w:t>
        <w:br/>
        <w:t xml:space="preserve">III. Competitive Analysis  </w:t>
        <w:br/>
        <w:t xml:space="preserve">25. The horizontal effects of the operation will be examined on the markets for the supply of biological equipment, reagents, and consumables (A) as well as on the markets for the provision of medical biology examinations (B).  </w:t>
        <w:br/>
        <w:t xml:space="preserve">A. MARKETS FOR THE SUPPLY OF BIOLOGICAL EQUIPMENT, REAGENTS, AND CONSUMABLES  </w:t>
        <w:br/>
        <w:t xml:space="preserve">26. The parties to the operation are involved in the markets for the supply of biological equipment, reagents, and consumables as buyers, for their own needs.  </w:t>
        <w:br/>
        <w:t xml:space="preserve">27. The notifying party indicates that the combined amount of purchases by Dyomedea-Neolab and Biogroup in biological equipment, reagents, and consumables amounts to approximately [Confidential] million euros in 2018. The parties primarily source from international pharmaceutical groups such as [Confidential].  </w:t>
        <w:br/>
        <w:t xml:space="preserve">28. At the national level, the notifying party estimates that the market share of the new entity in this market would be less than 15%.  </w:t>
        <w:br/>
        <w:t xml:space="preserve">29. Regardless of the segmentation retained for the markets for the supply of biological equipment, reagents, and consumables, the notifying party estimates that the market shares of the new entity would be below 25%.  </w:t>
        <w:br/>
        <w:t xml:space="preserve">30. Furthermore, the share of purchases of the new entity is lower at the European or global level, regardless of the category of products considered, as the parties primarily source in France.  </w:t>
        <w:br/>
        <w:t xml:space="preserve">31. Consequently, the operation is not likely to harm competition in the markets for the supply of biological equipment, reagents, and consumables through horizontal effects.  </w:t>
        <w:br/>
        <w:t xml:space="preserve">B. MARKETS FOR THE PROVISION OF MEDICAL BIOLOGY EXAMINATIONS  </w:t>
        <w:br/>
        <w:t xml:space="preserve">1) On the overall market for the provision of medical biology examinations  </w:t>
        <w:br/>
        <w:t xml:space="preserve">32. According to the notifying party, the market share of the new entity is approximately [10-20]% in the overall market for the provision of medical biology examinations at the national level.  </w:t>
        <w:br/>
        <w:t xml:space="preserve">33. Furthermore, the main competitors of the new entity are laboratories of national or even international dimension, such as Cerba, Synlab, or Inovie, in addition to healthcare establishments (hospitals and clinics).  </w:t>
        <w:br/>
        <w:t xml:space="preserve">34. Given this limited market share, the operation is not likely to harm competition in this market through horizontal effects.  </w:t>
        <w:br/>
        <w:t xml:space="preserve">2) On the market for specialized medical biology examinations  </w:t>
        <w:br/>
        <w:t xml:space="preserve">35. According to the notifying party, the market share of the new entity is [10-20]% in the market for specialized medical biology examinations at the national level. The notifying party specifies that Biogroup and Dyomedea-Neolab subcontract the majority of these examinations to specialized laboratories, notably to [Confidential], and to a lesser extent to [Confidential].  </w:t>
        <w:br/>
        <w:t xml:space="preserve">36. Furthermore, the parties face international groups, major competitors in the market for specialized medical biology examinations such as Eurofins Biomnis or Cerba, with estimated market shares of 40-50% and 20-30% at the national level, respectively.  </w:t>
        <w:br/>
        <w:t xml:space="preserve">37. Consequently, the operation is not likely to harm competition in the market for specialized medical biology examinations through horizontal effects.  </w:t>
        <w:br/>
        <w:t xml:space="preserve">3) On the market for routine medical biology examinations  </w:t>
        <w:br/>
        <w:t xml:space="preserve">38. In accordance with decision-making practice, the analysis of the market for routine medical biology examinations will be conducted at the national and regional levels, as well as within the various departments where the parties' activities overlap.  </w:t>
        <w:br/>
        <w:t xml:space="preserve">39. In the markets for routine medical biology examinations, price competition is limited, as, with certain exceptions, the price of the majority of acts is regulated. The price applicable to examinations and associated ancillary fees (sampling and travel) is thus defined based on a nomenclature of acts. Some competition exists for "off-nomenclature" acts offered by LBMs at freely set prices. For example, the price of serological tests for the coronavirus Covid-19 used during the health crisis in spring 2020 was, before their inclusion in the nomenclature at the end of May 2020, freely set by each of the LBMs offering them. However, these "off-nomenclature" acts represent a small proportion of the volume of acts performed. Competition among LBMs thus mainly occurs on "non-price" elements. The main components of competition are therefore geographical proximity and the quality of services and service (opening hours, turnaround times for result reports, range of analysis offerings, quality of patient reception, relationship between the biologist and the patient, etc.). Agreements concluded by LBMs with clinics and nursing homes (Ehpad) can also confer a competitive advantage to these laboratories due to the significant volume of examinations they ensure for them.  </w:t>
        <w:br/>
        <w:t xml:space="preserve">40. In order to assess whether an operation is likely to harm competition in a market, the Authority's guidelines on merger control specify that the market shares of the new entity and its competitors and the degree of market concentration are particularly examined. These two criteria are assessed on a case-by-case basis by the Authority, which also takes into account the characteristics and functioning of the analyzed markets.  </w:t>
        <w:br/>
        <w:t xml:space="preserve">41. Except for the national market and the market corresponding to the Rhône department, for which the parties provided estimates of market shares in value, the weight of the new entity in the local markets, in the region, and at the departmental level has been expressed by the parties in volume, that is to say in the number of sites, due to the lack of available data on the size of local markets in value.  </w:t>
        <w:br/>
        <w:t xml:space="preserve">42. Furthermore, these estimates of market shares in terms of the number of sites have been provided without taking into account the activity of public hospitals in routine medical biology, given the lack of precise data. For the reasons previously stated, these latter are part of the relevant market, provided that their laboratories are equipped to receive the public and perform routine examinations that are not reserved solely for hospitalized individuals.  </w:t>
        <w:br/>
        <w:t xml:space="preserve">43. Thus, the market shares in volume retained are based on a particularly conservative assumption, consisting of retaining only the market shares in terms of the number of sites of private LBMs, without taking into account the LBMs of public hospitals.  </w:t>
        <w:br/>
        <w:t xml:space="preserve">44. On this basis, when the market share in terms of the number of sites of the new entity provided by the parties is below 50%, a threshold generally retained to presume the existence of significant market power, and the competition from alternative operators remaining in the market has been deemed sufficient, the Authority has considered that it could rule out any risk of harm to competition, without the need for a more in-depth competitive analysis.  </w:t>
        <w:br/>
        <w:t>45. Conversely, when the market share in terms of the number of sites of the new entity provided by the parties is above 50%, the Authority has refined its analysis. In these cases, the position of the new entity in the relevant market has been evaluated based on a market share in value, based on revenue, using data collected during a market test conducted with both private laboratories and public hospital laboratories. Indeed, while the number of sites of a laboratory may constitute a first relevant indicator for the analysis, revenue remains the criterion that best reflects the activity of a laboratory.</w:t>
      </w:r>
    </w:p>
    <w:p>
      <w:r>
        <w:rPr>
          <w:b/>
        </w:rPr>
        <w:t>[Pages 10–12]</w:t>
      </w:r>
    </w:p>
    <w:p>
      <w:r>
        <w:t>Analysis at the national level</w:t>
        <w:br/>
        <w:t>46. According to the estimates provided by the notifying party, the combined market share of the parties in value would be around [10-20]%. Furthermore, the new entity will face competition from private players of national or even international scope such as Synlab, Eurofins, or Cerba, as well as the presence of numerous public hospitals.</w:t>
        <w:br/>
        <w:t>47. Therefore, given this limited market share, the transaction is not likely to harm competition in the national market for routine medical biology examinations through horizontal effects.</w:t>
      </w:r>
    </w:p>
    <w:p>
      <w:r>
        <w:t>Analysis at the regional level</w:t>
        <w:br/>
        <w:t>48. The activities of the parties overlap within the Auvergne-Rhône-Alpes region. Within this region, the market share of the new entity in terms of the number of sites held by private laboratories is [20-30]%.</w:t>
        <w:br/>
        <w:t>49. Furthermore, in addition to competition from public hospital laboratories, the new entity will face competition from a large number of private laboratories with national reach such as Cerba, Eurofins, Synlab, or regional ones such as Unibio and Novelab.</w:t>
        <w:br/>
        <w:t>50. Therefore, the transaction is not likely to harm competition in the market for routine medical biology examinations at the level of the Auvergne-Rhône-Alpes region through horizontal effects.</w:t>
      </w:r>
    </w:p>
    <w:p>
      <w:r>
        <w:t>Analysis at the departmental level</w:t>
        <w:br/>
        <w:t>51. The transaction results in an overlap of activities between the parties in three departments, namely Isère (38), Loire (42), and Rhône (69).</w:t>
        <w:br/>
        <w:t>♦ Analysis of effects in the departments where the market share of the new entity in terms of the number of sites of private laboratories is less than 50%</w:t>
        <w:br/>
        <w:t>52. In the department of Isère, the market share of the new entity in terms of the number of sites of private laboratories is estimated at [0-5]%. The new entity will hold, after the transaction, two sites located at each end of the department.</w:t>
        <w:br/>
        <w:t>53. In the department of Loire, the new entity will hold a market share of around [30-40]%. The transaction slightly alters the competitive situation as the acquisition concerns only one site within this department, resulting in a market share increase related to the transaction of [0-5] points.</w:t>
        <w:br/>
        <w:t>54. Furthermore, in these departments, the new entity will face competition from a large number of private laboratories as well as public hospital laboratories.</w:t>
        <w:br/>
        <w:t>55. Considering all these elements, the transaction is not likely to harm competition in the departments of Isère and Loire.</w:t>
        <w:br/>
        <w:t>♦ Analysis of effects in the department of Rhône where the market share of the new entity in terms of the number of sites of private laboratories is greater than 50%</w:t>
        <w:br/>
        <w:t>56. In the department of Rhône, the market share of the new entity in terms of the number of sites of private laboratories is estimated at [50-60]%. It rises to [50-60]% when including the sites of public hospital laboratories open to external patients. In accordance with the methodology described previously, the Authority refined the analysis of the position of the new entity by conducting a market test to determine the market share in terms of revenue of the new entity in the relevant market, which includes both private laboratories and public hospital laboratories open to external patients in the department.</w:t>
        <w:br/>
        <w:t>57. During the investigation, the parties attempted to propose an estimated market share based on data related to the amounts of reimbursements for medical biology acts published by health insurance. However, this criterion was set aside in favor of the revenue data collected during the market test, as it only imperfectly reflected the weight of the LBMs of the parties in the market for routine acts in the relevant department.</w:t>
        <w:br/>
        <w:t>58. The results of the market test indicate that the market share of the new entity in terms of revenue is [50-60]%.</w:t>
        <w:br/>
        <w:t>59. Prior to the transaction, Biogroup had 30 sites in Rhône and a market share in terms of revenue of [20-30]%. The target, for its part, has 39 sites and a market share in terms of revenue of [30-40]%. The transaction thus results in a market share increase of [20-30] points.</w:t>
        <w:br/>
        <w:t>60. The remaining competitors in the department of Rhône have a less significant geographical presence with a maximum of 17 sites held by a competing private laboratory. The market shares in terms of revenue are significantly lower than those of the new entity, not exceeding 14%.</w:t>
        <w:br/>
        <w:t>61. Given these elements, the significant strengthening of the position of the new entity in the considered market is not compensated by a credible and sufficient alternative offer from competing operators. In the department of Rhône, the transaction is therefore likely to harm competition.</w:t>
        <w:br/>
        <w:t>62. In order to address the identified anticompetitive risk, the notifying party has submitted commitments, the latest version of which was transmitted on July 16, 2020, and which are presented below.</w:t>
      </w:r>
    </w:p>
    <w:p>
      <w:r>
        <w:t>IV. The commitments</w:t>
        <w:br/>
        <w:t>63. In order to address the identified risk of harm to competition, the notifying party has submitted a proposal for commitments, the text of which, attached as an annex, forms an integral part of this decision.</w:t>
      </w:r>
    </w:p>
    <w:p>
      <w:r>
        <w:t>A. THE PROPOSED COMMITMENTS</w:t>
        <w:br/>
        <w:t>64. The commitments proposed on June 26, 2020, by the notifying party aim to remedy the anticompetitive effects that the transaction generates through horizontal effects in the market for routine medical biology examinations in the department of Rhône.</w:t>
        <w:br/>
        <w:t>65. Their drafting has been the subject of discussions with the Authority's services, which led to modifications. The commitments were finalized on July 16, 2020. It is in this version that they are presented below.</w:t>
        <w:br/>
        <w:t>66. In order to address the risks of unilateral effects identified in the department of Rhône, Biogroup has committed to divest one or more acquirers of seven medical analysis laboratory sites.</w:t>
        <w:br/>
        <w:t>67. For a period of ten years, Biogroup will not be able to acquire again all or part of the divested medical analysis sites, nor acquire direct or indirect influence over them.</w:t>
        <w:br/>
        <w:t>68. The acquirers must be independent, legally and commercially, from Biogroup and have no capital link, direct or indirect, with it. They must possess the financial resources and the appropriate skills to be able to preserve and develop, in a viable manner, the capacity of the divested activities to actively compete with the new entity in the medical biology sector.</w:t>
        <w:br/>
        <w:t>69. Finally, Biogroup commits to appoint an independent representative, whose mission will be to ensure the proper execution of all its obligations, particularly regarding the implementation of the conditions of the divestiture process and the maintenance of the viability, market value, and competitiveness of the divested assets.</w:t>
      </w:r>
    </w:p>
    <w:p>
      <w:r>
        <w:t>B. ASSESSMENT OF THE PROPOSED COMMITMENTS</w:t>
        <w:br/>
        <w:t>1) On the principles guiding the assessment of the proposed commitments</w:t>
        <w:br/>
        <w:t>70. Regarding a horizontal concentration, the Authority primarily seeks structural corrective measures, which aim to ensure competitive market structures through divestitures to an appropriate acquirer capable of exerting real competition, or the elimination of capital links between competitors.</w:t>
        <w:br/>
        <w:t>71. The Authority ensures that the commitments meet several criteria:</w:t>
        <w:br/>
        <w:t>- they must be effective, meaning they must effectively remedy the identified harms to competition;</w:t>
        <w:br/>
        <w:t>- their implementation must not raise doubts, which implies that they are drafted precisely, unambiguously, and that the operational modalities for their realization are sufficiently detailed;</w:t>
        <w:br/>
        <w:t>- their implementation must be swift, as competition is not preserved as long as they are not realized;</w:t>
        <w:br/>
        <w:t>- they must be controllable.</w:t>
      </w:r>
    </w:p>
    <w:p>
      <w:r>
        <w:rPr>
          <w:b/>
        </w:rPr>
        <w:t>[Pages 13–14]</w:t>
      </w:r>
    </w:p>
    <w:p>
      <w:r>
        <w:t xml:space="preserve">72. In this case, the proposed commitments aim to limit the strengthening of activities between the parties while preserving the competitive structure of the market as it existed before the transaction.  </w:t>
        <w:br/>
        <w:t xml:space="preserve">73. Furthermore, the effectiveness of the remedies depends on the divestiture of the relevant assets to one or more suitable purchasers. To restore sufficient competitive conditions, the purchaser(s) must be capable of effectively competing with the new entity in the relevant markets.  </w:t>
        <w:br/>
        <w:t xml:space="preserve">74. This implies that the purchaser must present all guarantees of viability and independence, both legal and commercial, from Biogroup. Therefore, it must be an actor in medical biology, independent of Biogroup throughout the entire value chain, from supply to the performance of medical analysis examinations, and capable of ensuring the sustainable operation of the divested assets.  </w:t>
        <w:br/>
        <w:t xml:space="preserve">75. Finally, the acquisition of the relevant sites must not be likely to create new harms to competition in the affected area by strengthening the position of an already established competitor.  </w:t>
        <w:br/>
        <w:t xml:space="preserve">2) On the appropriateness of the proposed commitments  </w:t>
        <w:br/>
        <w:t xml:space="preserve">76. The medical analysis sites concerned by the commitments are as follows:  </w:t>
        <w:br/>
        <w:t xml:space="preserve">Name of site Address Postal code City  </w:t>
        <w:br/>
        <w:t xml:space="preserve">7 place Louis Unilians Feyzin 69 320 Feyzin  </w:t>
        <w:br/>
        <w:t xml:space="preserve">Grenier  </w:t>
        <w:br/>
        <w:t xml:space="preserve">Unilians Lyon 4 4 place de la Croix 69 004 Lyon  </w:t>
        <w:br/>
        <w:t xml:space="preserve">Croix-Rousse  </w:t>
        <w:br/>
        <w:t xml:space="preserve">Unilians St Priest 28 rue Grande rue 69 800 Saint Priest  </w:t>
        <w:br/>
        <w:t xml:space="preserve">Grande Rue  </w:t>
        <w:br/>
        <w:t xml:space="preserve">Unilians 81 avenue Francis Vénissieux 69 200 Vénissieux  </w:t>
        <w:br/>
        <w:t xml:space="preserve">Pressense  </w:t>
        <w:br/>
        <w:t xml:space="preserve">Dyomedea-Neolab 2 rue Jules 69 008 Lyon  </w:t>
        <w:br/>
        <w:t xml:space="preserve">Valensaut  </w:t>
        <w:br/>
        <w:t xml:space="preserve">Dyomedea-Neolab 30 cours Richard 69 003 Lyon  </w:t>
        <w:br/>
        <w:t xml:space="preserve">Vitton  </w:t>
        <w:br/>
        <w:t xml:space="preserve">Dyomedea-Neolab 51 rue de la 69 600 Oullins  </w:t>
        <w:br/>
        <w:t xml:space="preserve">République  </w:t>
        <w:br/>
        <w:t xml:space="preserve">77. The commitments proposed by the notifying party consist of the divestiture of seven medical analysis sites, four currently held by Biogroup and three by Dyomedea-Neolab. These measures eliminate the competition issue in the Rhône department. Indeed, these divestitures result in a decrease in the market share of the new entity in the area. It is below 50%.  </w:t>
        <w:br/>
        <w:t xml:space="preserve">78. Consequently, the Authority considers that the commitments proposed by the notifying party are sufficient to eliminate the harms to competition resulting from the transaction.  </w:t>
        <w:br/>
        <w:t xml:space="preserve">DECIDES  </w:t>
        <w:br/>
        <w:t xml:space="preserve">Sole Article: The transaction notified under number 20-036 is authorized subject to the commitments described in paragraphs 63 to 78 above and annexed to this decision.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