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https://www.autoritedelaconcurrence.fr/fr/decision-de-controle-des-concentrations/relative-la-prise-de-controle-exclusif-du-groupe-edh-par-le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22-DCC-109 of June 20, 2022  </w:t>
        <w:br/>
        <w:t xml:space="preserve">regarding the exclusive control of the EDH group by the  </w:t>
        <w:br/>
        <w:t xml:space="preserve">Rothschild &amp; Co group  </w:t>
        <w:br/>
        <w:t xml:space="preserve">The Competition Authority,  </w:t>
        <w:br/>
        <w:t xml:space="preserve">Having regard to the complete notification file submitted to the mergers department on June 1, 2022,  </w:t>
        <w:br/>
        <w:t xml:space="preserve">concerning the exclusive control of the company Vendôme Éducation, parent company of the  </w:t>
        <w:br/>
        <w:t xml:space="preserve">EDH group, by the company Five Arrows Managers, a subsidiary of the Rothschild &amp; Co group,  </w:t>
        <w:br/>
        <w:t xml:space="preserve">formalized by a unilateral purchase promise dated May 22,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of the EDH group, active in the  </w:t>
        <w:br/>
        <w:t xml:space="preserve">private higher education sector, by the Rothschild &amp; Co group.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22-125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