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https://www.autoritedelaconcurrence.fr/fr/decision-de-controle-des-concentrations/relative-la-prise-de-controle-exclusif-du-groupe-editis-par</w:t>
      </w:r>
    </w:p>
    <w:p>
      <w:r>
        <w:t>Pages translated : 16</w:t>
      </w:r>
    </w:p>
    <w:p/>
    <w:p>
      <w:r>
        <w:rPr>
          <w:b/>
        </w:rPr>
        <w:t>[Pages 1–3]</w:t>
      </w:r>
    </w:p>
    <w:p>
      <w:r>
        <w:t xml:space="preserve">FRENCH REPUBLIC  </w:t>
        <w:br/>
        <w:t xml:space="preserve">Decision No. 19-DCC-01 of January 2, 2019  </w:t>
        <w:br/>
        <w:t>regarding the exclusive control of the Editis group by the Vivendi group</w:t>
      </w:r>
    </w:p>
    <w:p>
      <w:r>
        <w:t xml:space="preserve">The Competition Authority,  </w:t>
        <w:br/>
        <w:t xml:space="preserve">Having regard to the notification file submitted in full to the merger service on November 26, 2018, regarding the exclusive control of Antinéa 6 by Vivendi SA, formalized by a purchase promise dated September 20, 2018;  </w:t>
        <w:br/>
        <w:t xml:space="preserve">Having regard to Book IV of the Commercial Code relating to the freedom of prices and competition, and in particular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Vivendi SA is a public limited company, at the head of the Vivendi group, active in the sectors of music (via Universal Music Group, hereinafter "UMG"), free and pay television (via Groupe Canal Plus, hereinafter "GCP"), communication and advertising (via Havas), cinema, mobile video games, and video sharing (via Dailymotion). The Vivendi group is controlled by the Bolloré group, which is also active in the sectors of transport and logistics, press (via CNews), storage, and electrical solutions.  </w:t>
        <w:br/>
        <w:t xml:space="preserve">2. Antinéa 6 SA is a public limited company, wholly owned by Planeta Finance Belgium, a subsidiary of the Spanish group Planeta. Antinéa 6 SA heads the Editis group (hereinafter "Editis"), active in the publishing and marketing of literary works. Editis owns thirteen publishing houses, operating 44 brands including Fleuve, Julliard, Le Cherche Midi, Plon, Robert Laffont, Bordas, and Nathan. On November 9, 2018, Editis acquired exclusive control of the publishing house Héloïse d’Ormesson.  </w:t>
        <w:br/>
        <w:t>1 Editis currently has a higher education training division, which is excluded from the scope of the operation.</w:t>
      </w:r>
    </w:p>
    <w:p>
      <w:r>
        <w:t xml:space="preserve">3. The notified operation, formalized by a purchase promise dated September 20, 2018, consists of the acquisition by Vivendi SA of the entire capital of Antinéa 6 SA.  </w:t>
        <w:br/>
        <w:t xml:space="preserve">4. Insofar as it results in the exclusive control of the Editis group by the Vivendi group, the notified operation constitutes a concentration operation within the meaning of Article L. 430-1 of the Commercial Code.  </w:t>
        <w:br/>
        <w:t>5. The concerned companies together achieve a worldwide turnover excluding taxes of more than 150 million euros (Bolloré group: 18.3 billion euros for the fiscal year ending December 31, 2017; Editis: [≥150] million euros for the same fiscal year). Each of these companies achieves in France a turnover exceeding 50 million euros (Bolloré group: [≥50] million euros for the fiscal year ending December 31, 2017; Editis: [≥150] million euros for the same fiscal year). The notification thresholds of Article 1 paragraph 3 of Regulation (EC) 139/2004 are therefore exceeded, but since each of the concerned companies generates more than two-thirds of its turnover in the Union in France,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MARKETS FOR RIGHTS RELATING TO A LITERARY OR AUDIOVISUAL WORK  </w:t>
        <w:br/>
        <w:t xml:space="preserve">1. MARKETS FOR PRIMARY PUBLISHING RIGHTS OF A LITERARY WORK  </w:t>
        <w:br/>
        <w:t xml:space="preserve">a) Service markets  </w:t>
        <w:br/>
        <w:t xml:space="preserve">6. In the primary market for publishing rights in the French language, the consistent decision-making practice of competition authorities has established a first distinction based on the original language of the work, identifying a market for publishing rights in the French language of an original work in French and a market for publishing rights in the French language of an original work in a foreign language.  </w:t>
        <w:br/>
        <w:t xml:space="preserve">7. Furthermore, competition authorities have made a distinction based on the category of the book by identifying specific markets for (i) general literature books, (ii) children's books, (iii) comic books, and (iv) academic and professional works.  </w:t>
        <w:br/>
        <w:t xml:space="preserve">8. The question of the existence of a distinct market for digital rights has also been left open, a market test conducted by the European Commission having revealed that, in the vast majority of cases, digital rights and "paper" rights are acquired together by publishers and therefore belong to the same product market.  </w:t>
        <w:br/>
        <w:t xml:space="preserve">9. There is no need to challenge these market boundaries within the framework of this decision.  </w:t>
        <w:br/>
        <w:t xml:space="preserve">b) Geographic markets  </w:t>
        <w:br/>
        <w:t xml:space="preserve">10. Competition authorities have considered that the markets for publishing rights are global in scope. Regarding the primary markets for publishing rights in the French language of an original work in French, they have notably emphasized that publishers do not consider the nationality of the author when selecting a work, the selection criterion being essentially linguistic. Furthermore, the acquisition of publishing rights for works in the French language encompasses all rights in the French language, without restriction by country.  </w:t>
        <w:br/>
        <w:t xml:space="preserve">11. There is no need to challenge these market boundaries within the framework of this decision.  </w:t>
        <w:br/>
        <w:t xml:space="preserve">***  </w:t>
        <w:br/>
        <w:t>12. In this case, only Editis is active in these markets, as the acquirer of primary publishing rights.</w:t>
      </w:r>
    </w:p>
    <w:p>
      <w:r>
        <w:t xml:space="preserve">2. MARKETS FOR AUDIOVISUAL ADAPTATION RIGHTS OF LITERARY WORKS  </w:t>
        <w:br/>
        <w:t xml:space="preserve">13. The notifying party proposes to retain a market for audiovisual adaptation rights of literary works of global scope. However, this market has never been defined in the decision-making practice of competition authorities. It is therefore necessary to examine its relevance within the framework of this decision.  </w:t>
        <w:br/>
        <w:t xml:space="preserve">a) Service markets  </w:t>
        <w:br/>
        <w:t xml:space="preserve">14. Audiovisual adaptation rights of literary works include the right for the acquirer to exploit, on any medium, any element of the work and its adaptations, including characters and situations, with a view to integrating them into an audiovisual work.  </w:t>
        <w:br/>
        <w:t>15. Audiovisual adaptation rights of a literary work are held by the author of the work or transferred by the author to publishing houses, which are responsible for finding a buyer (generally a producer). The main competitors of Editis, interviewed as part of a market test conducted for the purposes of this operation, indicated that the audiovisual adaptation rights held by publishing houses concern almost entirely works for which they also hold the primary publishing rights. Thus, there would not be a specific market for the acquisition of audiovisual adaptation rights of literary works between their author and the publishing houses.</w:t>
      </w:r>
    </w:p>
    <w:p>
      <w:r>
        <w:rPr>
          <w:b/>
        </w:rPr>
        <w:t>[Pages 4–6]</w:t>
      </w:r>
    </w:p>
    <w:p>
      <w:r>
        <w:t xml:space="preserve">16. The audiovisual adaptation rights of a literary work may, at a later stage, be transferred by publishing houses or directly by their author, or their representative, to producers. It is therefore at this level of the value chain that there is a meeting of supply and demand, with publishers soliciting producers through catalogs, newsletters, bulletins, and meetings during professional events (festivals, markets, and fairs). Producers interested in a particular work may also choose to contact the publisher directly to acquire the rights to that work.  </w:t>
        <w:br/>
        <w:t>17. It thus appears relevant to consider the existence of a market for the sale of audiovisual adaptation rights of literary works to producers.</w:t>
      </w:r>
    </w:p>
    <w:p>
      <w:r>
        <w:t xml:space="preserve">Inclusion of authors in the market  </w:t>
        <w:br/>
        <w:t xml:space="preserve">18. As indicated above, the author of a literary work may choose to retain their audiovisual adaptation rights.  </w:t>
        <w:br/>
        <w:t xml:space="preserve">19. When asked about the competitive pressure exerted by authors who own their rights on publishers, the latter indicated that they are mostly not in competition with authors. One respondent emphasized: "We have a dedicated prospecting service that is generally more effective. Authors who retain their rights are often those who wish to adapt their work themselves or who are close to a producer, screenwriter, or director to whom they wish to entrust the adaptation of their work. Some authors retain these rights because they do not wish to transfer them at all."  </w:t>
        <w:br/>
        <w:t>20. In this case, the question of the inclusion of authors in the market for the sale of audiovisual adaptation rights of literary works may remain open, with the conclusions of the competitive analysis remaining unchanged.</w:t>
      </w:r>
    </w:p>
    <w:p>
      <w:r>
        <w:t xml:space="preserve">Segmentation based on the original language of the literary work  </w:t>
        <w:br/>
        <w:t xml:space="preserve">21. The market test showed that publishing houses in France acquire almost entirely the audiovisual adaptation rights of literary works whose original language is French. Thus, Editis and its competitors only offer audiovisual adaptation rights of literary works in the French language. The audiovisual adaptation rights of literary works in foreign languages are acquired by distinct publishing houses, generally foreign.  </w:t>
        <w:br/>
        <w:t xml:space="preserve">22. Furthermore, several producers interviewed as part of the market test also emphasized that literary works in French may enjoy better recognition among the French public than foreign works and that they are better able to respond to French cultural specificities, particularly when it comes to comedies.  </w:t>
        <w:br/>
        <w:t xml:space="preserve">23. Thus, the existence of a specific market for audiovisual adaptation rights for literary works in French may be considered.  </w:t>
        <w:br/>
        <w:t>24. In this case, Editis only holds the adaptation rights for literary works in French, so the question of the relevance of this segmentation may be left open.</w:t>
      </w:r>
    </w:p>
    <w:p>
      <w:r>
        <w:t xml:space="preserve">Segmentation based on the category of literary works  </w:t>
        <w:br/>
        <w:t xml:space="preserve">25. Regarding the market for primary publishing rights of literary works in French, the decision-making practice of competition authorities has adopted a segmentation based on the category of the literary work: (i) general literature books, (ii) children's books, (iii) comic books, and (iv) academic and professional works.  </w:t>
        <w:br/>
        <w:t xml:space="preserve">26. A distinction based on the category of the literary work could thus be considered for the audiovisual adaptation rights of literary works in French. However, the market test did not identify a specialization of producers based on the category of the literary work. A majority of publishing houses also offer several categories of literary works in their catalog.  </w:t>
        <w:br/>
        <w:t xml:space="preserve">27. Some respondents to the market test indicated, however, that producers may be specialized based on the format of the audiovisual work (animated film, cinematic work, telefilm and series, documentary). They also indicated that the literary work rarely determines the format of its adaptation, as this depends essentially on the choice of the producer and, possibly, the broadcaster.  </w:t>
        <w:br/>
        <w:t xml:space="preserve">28. The only exception concerns the audiovisual adaptation rights of literary works for children, with several respondents noting a certain specialization for this category of literary work. One respondent stated: "Some more specialized producers, particularly in animation, will look more closely at our children's catalog," while another specified: "Producers producing animation and films aimed at young audiences are more likely to be interested in the [respondent's] children's catalog."  </w:t>
        <w:br/>
        <w:t>29. Thus, a distinct market for children's literary works could be considered.</w:t>
      </w:r>
    </w:p>
    <w:p>
      <w:r>
        <w:t>30. In this case, the question of the exact delineation of these markets may be left open, with the conclusions of the competitive analysis remaining unchanged.</w:t>
      </w:r>
    </w:p>
    <w:p>
      <w:r>
        <w:t xml:space="preserve">b) Geographic markets  </w:t>
        <w:br/>
        <w:t xml:space="preserve">31. Regarding the markets for audiovisual adaptation rights of literary works in French, it appears that the criterion is, as with the primary publishing markets, essentially linguistic. Thus, the acquisition of audiovisual adaptation rights of literary works in French concerns all literary works in the French language, regardless of the location or nationality of their author.  </w:t>
        <w:br/>
        <w:t>32. Consequently, the geographical dimension of this market could be global.</w:t>
      </w:r>
    </w:p>
    <w:p>
      <w:r>
        <w:t>33. In this case, Editis holds audiovisual adaptation rights of literary works, which it may be led to transfer to producers. It is therefore active as a supplier in these markets. Vivendi, notably via GCP, may co-finance projects with a producer who has acquired audiovisual adaptation rights. It could therefore be considered active, as a buyer, in these markets.</w:t>
      </w:r>
    </w:p>
    <w:p>
      <w:r>
        <w:t xml:space="preserve">3. MARKET FOR LITERARY ADAPTATION RIGHTS OF AN AUDIOVISUAL WORK  </w:t>
        <w:br/>
        <w:t xml:space="preserve">a) Service market  </w:t>
        <w:br/>
        <w:t>34. In the context of the market test, two competitors spontaneously highlighted the existence of a potential market related to literary adaptation rights of an audiovisual work. In this market, publishers would seek to acquire adaptation rights "of one or more elements of a film (book adapted from a film or book incorporating the script or universe of a film or accompanying a film)." This is a market that has not been examined by the competition authorities under merger control. Following the market test, the notifying party was thus invited to present its analysis of this market.</w:t>
      </w:r>
    </w:p>
    <w:p>
      <w:r>
        <w:t xml:space="preserve">Segmentation based on the nature of the audiovisual work  </w:t>
        <w:br/>
        <w:t xml:space="preserve">35. The notifying party indicates that a distinction should be made between films (including animated films) on one hand and series and cartoons on the other, insofar as co-production contracts differ between these two types of work.  </w:t>
        <w:br/>
        <w:t xml:space="preserve">36. It specifies that for series, GCP holds, alongside the project-leading producer (or delegated producer), a co-ownership right over all the rights that have been transferred by the latter by the author. The literary adaptation rights may then be part of the rights transferred. However, for films, the delegated producer transfers certain rights to GCP. As such, to hold the literary adaptation rights of an audiovisual work, GCP must explicitly acquire them from the delegated producer, who will have previously acquired them from the author or screenwriter of the audiovisual work.  </w:t>
        <w:br/>
        <w:t>37. The difference in co-production contracts determines the behavior of suppliers in that, in the case of series, co-producers must jointly decide to transfer the rights to a publishing house, whereas for films, this decision depends solely on one entity.</w:t>
      </w:r>
    </w:p>
    <w:p>
      <w:r>
        <w:t xml:space="preserve">Segmentation based on the language of the literary work produced  </w:t>
        <w:br/>
        <w:t>38. An additional segmentation based on the language of the literary work resulting from the adaptation may be considered. Indeed, publishing houses acquire the literary adaptation rights of an audiovisual work to publish a work in a specific language and are, in this respect, in competition with publishing houses working in the same language.</w:t>
      </w:r>
    </w:p>
    <w:p>
      <w:r>
        <w:t xml:space="preserve">Segmentation based on the destination of the audiovisual work  </w:t>
        <w:br/>
        <w:t>39. A specific segment could be considered for children's works. Indeed, adaptations of an audiovisual work are very common in children's literature. Thus, in the top 100 literary works aimed at children in France in 2017, at least one-third of the books are based on a universe derived from an audiovisual work.</w:t>
      </w:r>
    </w:p>
    <w:p>
      <w:r>
        <w:t>40. In this case, the question of the exact segmentation of these markets may be left open, with the conclusions of the competitive analysis remaining unchanged.</w:t>
      </w:r>
    </w:p>
    <w:p>
      <w:r>
        <w:t xml:space="preserve">b) Geographic market  </w:t>
        <w:br/>
        <w:t xml:space="preserve">41. The first selection criterion for the publishing house appears to be the distribution of the audiovisual work in the countries where the majority of these works are broadcast. Francophone publishing houses indeed apply for audiovisual works broadcast in France and other Francophone countries in order to publish literary works in the French language. Consequently, a publishing house may seek to acquire the literary adaptation rights of a foreign audiovisual work, but translated or subtitled as part of its broadcast in France and other Francophone countries.  </w:t>
        <w:br/>
        <w:t>42. Consequently, the geographical dimension of these markets could be global.</w:t>
      </w:r>
    </w:p>
    <w:p>
      <w:r>
        <w:rPr>
          <w:b/>
        </w:rPr>
        <w:t>[Pages 7–9]</w:t>
      </w:r>
    </w:p>
    <w:p>
      <w:r>
        <w:t>***</w:t>
        <w:br/>
        <w:t>43. In this case, the acquirer, through GCP, may hold literary adaptation rights, which can be transferred to publishing houses such as Editis.</w:t>
      </w:r>
    </w:p>
    <w:p>
      <w:r>
        <w:t>B. MARKETS FOR THE SUPPLY OF CULTURAL PRODUCTS</w:t>
      </w:r>
    </w:p>
    <w:p>
      <w:r>
        <w:t>1. MARKETS FOR THE SALE OF BOOKS BY PUBLISHERS TO RESELLERS</w:t>
      </w:r>
    </w:p>
    <w:p>
      <w:r>
        <w:t>a) Product Markets</w:t>
      </w:r>
    </w:p>
    <w:p>
      <w:r>
        <w:t>44. Books are subject to an initial sale, upstream, between publishers and resellers (bookstores, hypermarkets, etc.), the latter being compensated by the discount granted by publishers on the final sale price, followed by a second sale, downstream, between these resellers and consumers (the readers).</w:t>
      </w:r>
    </w:p>
    <w:p>
      <w:r>
        <w:t>45. The decision-making practice segments the market for the sale of books by publishers according to the type of resellers. It distinguishes (i) level 1 and 2 retailers (large specialized stores and major bookstores), (ii) wholesalers, who resell to level 3 retailers, and (iii) hypermarkets9. The European Commission has also considered a specific segment for the sale of books to online resellers10.</w:t>
      </w:r>
    </w:p>
    <w:p>
      <w:r>
        <w:t>46. Competition authorities have also segmented the market for the sale of books by publishers based on major categories of books: (i) general literature, distinguishing between large format and paperback, (ii) children's books, (iii) illustrated books, (iv) practical books, (v) comic books, (vi) educational books, distinguishing between school books and extracurricular books, (vii) university and professional books, (viii) reference works, a category subdivided into several segments11, and (ix) booklets12. The European Commission has also considered a segmentation between digital books and audio books13.</w:t>
      </w:r>
    </w:p>
    <w:p>
      <w:r>
        <w:t>b) Geographic Markets</w:t>
      </w:r>
    </w:p>
    <w:p>
      <w:r>
        <w:t>47. The decision-making practice of competition authorities has retained a supranational dimension, covering at least the French-speaking linguistic area of the European Union, with the possible inclusion of French-speaking Switzerland14.</w:t>
      </w:r>
    </w:p>
    <w:p>
      <w:r>
        <w:t>48. There is no need to challenge these market boundaries within the framework of this decision.</w:t>
      </w:r>
    </w:p>
    <w:p>
      <w:r>
        <w:t xml:space="preserve">9 The national publishing union defines level 3 retailers as very small points of sale, specialized points of sale, or occasional points of sale.  </w:t>
        <w:br/>
        <w:t xml:space="preserve">10 See the aforementioned decision M. 6789.  </w:t>
        <w:br/>
        <w:t xml:space="preserve">11 These segments notably concern single-volume dictionaries, single-volume encyclopedias, multi-volume reference works, as well as reference works published in several booklets. Furthermore, distinct markets for monolingual dictionaries on one hand and bilingual or multilingual dictionaries on the other hand have been considered.  </w:t>
        <w:br/>
        <w:t xml:space="preserve">12 See the decisions M. 2978, M. 4611, M. 5838, M. 6789, n° 12-DCC-126 and n° 17-DCC-208 mentioned above.  </w:t>
        <w:br/>
        <w:t xml:space="preserve">13 See the aforementioned decision M. 6789.  </w:t>
        <w:br/>
        <w:t xml:space="preserve">14 See the decisions M. 2978, M. 4611, M. 5838, M. 6789, n° 12-DCC-126 and n° 17-DCC-208 mentioned above.  </w:t>
        <w:br/>
        <w:t>7</w:t>
      </w:r>
    </w:p>
    <w:p>
      <w:r>
        <w:t>***</w:t>
        <w:br/>
        <w:t>49. In this case, only Editis is active in these markets, notably through the company Interforum and its subsidiaries.</w:t>
      </w:r>
    </w:p>
    <w:p>
      <w:r>
        <w:t>2. MARKETS FOR THE SALE OF RECORDED MUSIC TO RESELLERS</w:t>
      </w:r>
    </w:p>
    <w:p>
      <w:r>
        <w:t>a) Product Markets</w:t>
      </w:r>
    </w:p>
    <w:p>
      <w:r>
        <w:t>50. The decision-making practice of competition authorities has distinguished the wholesale market for recorded music in physical format on one hand, and in digital format on the other15.</w:t>
      </w:r>
    </w:p>
    <w:p>
      <w:r>
        <w:t>51. Regarding the wholesale distribution of music in digital format, competition authorities have considered a segmentation based on the form of the digital music distribution service, that is to say between mobile phone applications on one hand and websites and software on the other16. Similarly, they have considered distinguishing between download services and streaming services17.</w:t>
      </w:r>
    </w:p>
    <w:p>
      <w:r>
        <w:t>52. However, the European Commission has considered in its most recent decisions that it was not necessary to segment the wholesale distribution of music in digital format between streaming services and download services, notably due to the convergence of the two types of service18.</w:t>
      </w:r>
    </w:p>
    <w:p>
      <w:r>
        <w:t>53. In this case, the question of the exact delimitation of these markets can be left open, with the conclusions of the competitive analysis remaining unchanged.</w:t>
      </w:r>
    </w:p>
    <w:p>
      <w:r>
        <w:t>b) Geographic Markets</w:t>
      </w:r>
    </w:p>
    <w:p>
      <w:r>
        <w:t>54. The decision-making practice of competition authorities considers that the wholesale market for recorded music in physical format is national in scope19. For the wholesale sale of music in digital format, a supranational dimension has been considered20.</w:t>
      </w:r>
    </w:p>
    <w:p>
      <w:r>
        <w:t>55. There is no need to challenge these market boundaries within the framework of this decision.</w:t>
      </w:r>
    </w:p>
    <w:p>
      <w:r>
        <w:t>***</w:t>
        <w:br/>
        <w:t>56. In this case, only the acquirer is active, as an offeror, in these markets through UMG.</w:t>
      </w:r>
    </w:p>
    <w:p>
      <w:r>
        <w:t xml:space="preserve">15 See notably the decisions of the Commission M. 3333 – Sony/BMG of October 3, 2007, M. 6458, Universal Music Group / EMI Music of September 21, 2012, M. 6884 – Access/PLG of May 14, 2013, M. 7290 Apple/Beats of July 25, 2014 and M. 8788 Apple/Shazam of September 6, 2018; the letter from the minister in charge of the economy dated April 15, 2008 to SFR, regarding the concentration in the telecommunications sector (C2007/181) and the decision of the Competition Authority n° 16-DCC-97 of June 24, 2016 regarding the exclusive control of the company Deezer by the Access Industries group.  </w:t>
        <w:br/>
        <w:t xml:space="preserve">16 See the decisions n° 16-DCC-97, M. 6884 and M. 8788 mentioned above.  </w:t>
        <w:br/>
        <w:t xml:space="preserve">17 See the decisions n° 16-DCC-97, M. 6458, M. 6884, M. 7290 and M. 8788 mentioned above.  </w:t>
        <w:br/>
        <w:t xml:space="preserve">18 See the decisions M. 6458, M. 6884 and M. 7290 mentioned above.  </w:t>
        <w:br/>
        <w:t xml:space="preserve">19 See the decisions n° 16-DCC-97, M. 6458, M. 6884, M. 7290 and M. 8788 mentioned above.  </w:t>
        <w:br/>
        <w:t xml:space="preserve">20 See the decisions n° 16-DCC-97, M. 6884, M. 7290 and M. 8788 mentioned above.  </w:t>
        <w:br/>
        <w:t>8</w:t>
      </w:r>
    </w:p>
    <w:p>
      <w:r>
        <w:t>C. ADVERTISING AND COMMUNICATION SERVICES MARKETS</w:t>
      </w:r>
    </w:p>
    <w:p>
      <w:r>
        <w:t>1. MARKETS FOR THE SALE OF ADVERTISING SPACE</w:t>
      </w:r>
    </w:p>
    <w:p>
      <w:r>
        <w:t>57. The decision-making practice of competition authorities considers that there are as many markets for the sale of advertising space as there are media platforms21. Indeed, depending on the type of media chosen (television, press, online, etc.), the target audience can vary significantly. The costs and techniques of production and dissemination of messages also differ greatly.</w:t>
      </w:r>
    </w:p>
    <w:p>
      <w:r>
        <w:t>a) Markets for the sale of television advertising space</w:t>
      </w:r>
    </w:p>
    <w:p>
      <w:r>
        <w:t>Service Markets</w:t>
      </w:r>
    </w:p>
    <w:p>
      <w:r>
        <w:t>Competition authorities consider that the television advertising market is distinct from other advertising markets22.</w:t>
      </w:r>
    </w:p>
    <w:p>
      <w:r>
        <w:t>Geographical Markets</w:t>
      </w:r>
    </w:p>
    <w:p>
      <w:r>
        <w:t>58. The geographical dimension of the television advertising market is national, due to linguistic and cultural barriers, except in the case of local television advertising, for which the dimension would correspond to the television broadcast area23.</w:t>
      </w:r>
    </w:p>
    <w:p>
      <w:r>
        <w:t>b) Markets for the sale of advertising space in the print media</w:t>
      </w:r>
    </w:p>
    <w:p>
      <w:r>
        <w:t>Service Markets</w:t>
      </w:r>
    </w:p>
    <w:p>
      <w:r>
        <w:t>59. The decision-making practice of competition authorities has considered that the market for advertising in the press should be segmented based on the category of the press title: (i) national daily press, (ii) regional daily press, (iii) free press, and (iv) specialized advertising24. Within the free press, it distinguishes between free press with editorial content (or free information press) and free advertising press25.</w:t>
      </w:r>
    </w:p>
    <w:p>
      <w:r>
        <w:t>60. Competition authorities have also considered distinguishing a market for financial advertising from that for commercial advertising26.</w:t>
      </w:r>
    </w:p>
    <w:p>
      <w:r>
        <w:t>Geographical Markets</w:t>
      </w:r>
    </w:p>
    <w:p>
      <w:r>
        <w:t>61. The geographical delimitation of these markets corresponds to the broadcast area of the title.</w:t>
      </w:r>
    </w:p>
    <w:p>
      <w:r>
        <w:t xml:space="preserve">21 See notably the decision of the European Commission M. 8392 Bolloré/Vivendi of April 24, 2017, and the decisions of the Competition Authority n° 10-DCC-11 of January 26, 2010 regarding the exclusive control by the TF1 group of the company NT1 and Monte-Carlo Participations (AB group), n° 14-DCC-50 of April 2, 2014 regarding the exclusive control of the companies Direct 8, Direct Star, Direct Productions, Direct Digital and Bolloré Intermédia by Vivendi SA and Groupe Canal Plus and n° 17-DCC-76 of June 13, 2017 regarding the exclusive control of Groupe News Participations by SFR Group.  </w:t>
        <w:br/>
        <w:t xml:space="preserve">22 Ibid.  </w:t>
        <w:br/>
        <w:t xml:space="preserve">23 See notably the decisions M. 8392, n° 10-DCC-11, n° 14-DCC-50, n° 17-DCC-76 and n° 18-DCC-63 mentioned above.  </w:t>
        <w:br/>
        <w:t xml:space="preserve">24 See notably the decision of the Competition Authority n° 15-DCC-139 of October 20, 2015 regarding the exclusive control of the publishing and marketing activity of the newspapers Le Parisien and Aujourd’hui en France by the LVMH – Moët Hennessy – Louis Vuitton group as well as the decisions n° 17-DCC-76 and n° 18-DCC-63 mentioned above.  </w:t>
        <w:br/>
        <w:t xml:space="preserve">25 See notably the decisions of the Competition Authority n° 15-DCC-139, n° 17-DCC-76 and n° 18-DCC-63 mentioned above.  </w:t>
        <w:br/>
        <w:t xml:space="preserve">26 See notably the decisions of the Competition Authority n° 15-DCC-139, n° 17-DCC-76 and n° 18-DCC-63 mentioned above.  </w:t>
        <w:br/>
        <w:t>9</w:t>
      </w:r>
    </w:p>
    <w:p>
      <w:r>
        <w:rPr>
          <w:b/>
        </w:rPr>
        <w:t>[Pages 10–12]</w:t>
      </w:r>
    </w:p>
    <w:p>
      <w:r>
        <w:t>c) Markets for the sale of online advertising space</w:t>
      </w:r>
    </w:p>
    <w:p>
      <w:r>
        <w:t>Service Markets</w:t>
      </w:r>
    </w:p>
    <w:p>
      <w:r>
        <w:t xml:space="preserve">62. The decision-making practice of competition authorities recognizes the existence of a specific market for online advertising27.  </w:t>
        <w:br/>
        <w:t xml:space="preserve">63. It has also distinguished the sale of online advertising space (i) according to their selection method (search-related ads or not) and (ii) according to their visual appearance (text ads or other formats, such as graphical displays).  </w:t>
        <w:br/>
        <w:t>64. The European Commission has also considered distinguishing online advertising aimed at fixed terminals (computers) from that aimed at mobile terminals (phones, tablets)28.</w:t>
      </w:r>
    </w:p>
    <w:p>
      <w:r>
        <w:t>Geographical Markets</w:t>
      </w:r>
    </w:p>
    <w:p>
      <w:r>
        <w:t xml:space="preserve">65. Competition authorities consider that the geographical dimension of online advertising markets is national, primarily due to the existence of cultural and linguistic barriers29.  </w:t>
        <w:br/>
        <w:t xml:space="preserve">66. There is no need to challenge these market boundaries within the framework of this decision.  </w:t>
        <w:br/>
        <w:t xml:space="preserve">***  </w:t>
        <w:br/>
        <w:t>67. In this case, the acquirer is active, as a supplier, in the markets for the sale of advertising space (i) television, via GCP channels, (ii) in the print press, via the free information newspaper CNews, and (iii) online through Dailymotion, Gameloft, and GCP's websites.</w:t>
      </w:r>
    </w:p>
    <w:p>
      <w:r>
        <w:t>2. MARKETS FOR MEDIA AGENCY SERVICES TO ADVERTISERS</w:t>
      </w:r>
    </w:p>
    <w:p>
      <w:r>
        <w:t>a) Market for the provision of advertising space purchasing services</w:t>
      </w:r>
    </w:p>
    <w:p>
      <w:r>
        <w:t>Service Markets</w:t>
      </w:r>
    </w:p>
    <w:p>
      <w:r>
        <w:t xml:space="preserve">68. The European Commission has identified a market for the provision of advertising space purchasing services, segmenting it based on client size and whether or not direct sales are included30.  </w:t>
        <w:br/>
        <w:t xml:space="preserve">27 See in particular the European Commission decision M. 4731 of March 11, 2018 Google/DoubleClick, the opinion of the Competition Authority n° 18-A-03 of March 6, 2018 regarding the use of data in the online advertising sector, and the aforementioned decision n° 18-DCC-63.  </w:t>
        <w:br/>
        <w:t xml:space="preserve">28 See in particular the European Commission decisions M. 5727 of February 18, 2010, Microsoft/Yahoo! Search Business and M. 7217 of October 3, 2014, Facebook/WhatsApp.  </w:t>
        <w:br/>
        <w:t xml:space="preserve">29 See in particular decisions n° 10-DCC-11, n° 17-DCC-76, n° 18-DCC-18, M. 4731, M. 5727, M. 7217, and M. 8392 mentioned above.  </w:t>
        <w:br/>
        <w:t>30 See the European Commission decisions M. 3579 of January 24, 2005 WPP/Grey and M. 7023 of January 9, 2014 Publicis/Omnicom.</w:t>
      </w:r>
    </w:p>
    <w:p>
      <w:r>
        <w:t>Geographical Markets</w:t>
      </w:r>
    </w:p>
    <w:p>
      <w:r>
        <w:t>69. The European Commission has considered a national dimension while leaving the question of the exact delimitation of the market for the provision of advertising space purchasing services open31.</w:t>
      </w:r>
    </w:p>
    <w:p>
      <w:r>
        <w:t>b) Market for marketing and commercial communication services</w:t>
      </w:r>
    </w:p>
    <w:p>
      <w:r>
        <w:t>Service Markets</w:t>
      </w:r>
    </w:p>
    <w:p>
      <w:r>
        <w:t xml:space="preserve">70. The European Commission has considered that the market for marketing and commercial communication services is distinct from the markets for media space purchasing services, as it "includes various services, notably marketing, analysis and consulting, public relations, and customer relationship management"32.  </w:t>
        <w:br/>
        <w:t>71. Furthermore, it has considered that the market does not need to be segmented according to the services concerned, the type of media, the sector, or the size of clients.</w:t>
      </w:r>
    </w:p>
    <w:p>
      <w:r>
        <w:t>Geographical Markets</w:t>
      </w:r>
    </w:p>
    <w:p>
      <w:r>
        <w:t xml:space="preserve">72. The European Commission has estimated that the market for marketing and commercial communication services has a national dimension33.  </w:t>
        <w:br/>
        <w:t xml:space="preserve">73. There is no need to challenge these market boundaries within the framework of this decision.  </w:t>
        <w:br/>
        <w:t xml:space="preserve">***  </w:t>
        <w:br/>
        <w:t>74. In this case, the acquirer is active in the media agency services markets, as a supplier, through the company Havas.</w:t>
      </w:r>
    </w:p>
    <w:p>
      <w:r>
        <w:t>III. Competitive Analysis</w:t>
      </w:r>
    </w:p>
    <w:p>
      <w:r>
        <w:t xml:space="preserve">75. Editis is primarily active in the upstream markets for rights related to French literary works and the sale of books to resellers. Vivendi is active in the advertising markets, the distribution of recorded music via UMG, and audiovisual production, including audiovisual adaptations of literary works via GCP. The Bolloré group is also active in the market for the sale of advertising space in free information press via CNews.  </w:t>
        <w:br/>
        <w:t>76. The operation therefore does not result in any horizontal overlap of activities between the parties. However, it may lead to vertical and conglomerate effects given the positions of the parties in the audiovisual and literary value chains.</w:t>
      </w:r>
    </w:p>
    <w:p>
      <w:r>
        <w:t>A. ANALYSIS OF VERTICAL EFFECTS</w:t>
      </w:r>
    </w:p>
    <w:p>
      <w:r>
        <w:t xml:space="preserve">77. A vertical concentration can restrict competition by making access to the markets where the new entity will be active more difficult, or even potentially driving competitors out or penalizing them by increasing their costs. This lock-in can target downstream markets when the integrated company refuses to sell an input to its downstream competitors, degrades its quality, or significantly increases its price, or upstream markets when the downstream branch of the integrated company refuses to purchase products from upstream manufacturers, thereby reducing their commercial outlets.  </w:t>
        <w:br/>
        <w:t>78. However, decision-making practice generally considers that a risk of vertical effect can be ruled out as long as the market share of the company resulting from the operation in the relevant markets does not exceed 30%34.</w:t>
      </w:r>
    </w:p>
    <w:p>
      <w:r>
        <w:t>1. ADVERTISING MARKETS</w:t>
      </w:r>
    </w:p>
    <w:p>
      <w:r>
        <w:t xml:space="preserve">79. In this case, the operation is likely to generate vertical effects in the advertising markets, as the parties are present in these markets, respectively as suppliers of advertising space and services and as buyers of these same services.  </w:t>
        <w:br/>
        <w:t xml:space="preserve">80. However, the Bolloré group has market shares below 30% in the various advertising markets35. Furthermore, Editis accounts for less than 1% of advertising purchases across the various channels (press, internet, television). Consequently, the notifying party will neither have the ability nor the incentive to implement lock-in strategies, particularly with respect to Editis's competitors.  </w:t>
        <w:br/>
        <w:t>81. As a result, the operation is not likely to harm competition through vertical effects in these markets.</w:t>
      </w:r>
    </w:p>
    <w:p>
      <w:r>
        <w:t>2. MARKETS FOR AUDIOVISUAL ADAPTATION RIGHTS</w:t>
      </w:r>
    </w:p>
    <w:p>
      <w:r>
        <w:t xml:space="preserve">82. In this case, the operation is also likely to generate vertical effects in the markets for audiovisual adaptation rights of literary works in French, with Editis holding audiovisual adaptation rights and the acquirer, via GCP, being able to either co-produce audiovisual adaptations of literary works or directly acquire its rights as part of its audiovisual production activity.  </w:t>
        <w:br/>
        <w:t xml:space="preserve">83. Editis's market share has been estimated by the notifying party based on the top 100 best-selling general literature works in French in France (hereinafter "top 100"). In 2017, Editis held the audiovisual adaptation rights for [10-15] works present in the 100 best-selling general literature works and [0-5] of the works present in the top 100 best-selling youth literature.  </w:t>
        <w:br/>
        <w:t>84. Another method for estimating Editis's market shares in the market for audiovisual adaptation rights of literary works in French is to estimate the market share it holds in the primary publishing rights markets. Indeed, as seen above,</w:t>
      </w:r>
    </w:p>
    <w:p>
      <w:r>
        <w:rPr>
          <w:b/>
        </w:rPr>
        <w:t>[Pages 13–15]</w:t>
      </w:r>
    </w:p>
    <w:p>
      <w:r>
        <w:t>on the sale of advertising space in the news press, the Bolloré group owns the free daily news outlet CNews. It will also hold a market share of [10-20]% in the market for the provision of advertising purchasing services to advertisers.</w:t>
      </w:r>
    </w:p>
    <w:p>
      <w:r>
        <w:t>French publishing houses acquire almost exclusively the audiovisual adaptation rights of works for which they hold primary publishing rights. Thus, the market share in the primary publishing rights markets constitutes a premium for the audiovisual adaptation rights of French-language literary works that can be acquired by Editis. However, to determine the market share in these markets, the decision-making practice of competition authorities has alternatively considered (i) the market share of the entity based on the total amount of advances paid by publishing houses to the authors of the 100 best-selling books in France36, (ii) the number of books published by the entity that belong to the best-seller list in France37, and (iii) the market share of the entity in the market for the sale of books to resellers38. In this case, it appears that Editis's share in the list of the 100 best-sellers in general literature in France and its market share in the sale of general literature books to resellers are close ([10-20]% and [10-20]%). The two approaches yield more divergent results for children's books, with market shares of [0-5]% and [10-20]%, respectively.</w:t>
      </w:r>
    </w:p>
    <w:p>
      <w:r>
        <w:t>Another method would be to calculate Editis's market share in the option and transfer contracts for audiovisual adaptation rights of French-language literary works concluded in 2017. Based on the data collected during the market test, it appears that in 2017, Editis's market share in the options market as well as in the market for the transfer of audiovisual adaptation rights is below 20%.</w:t>
      </w:r>
    </w:p>
    <w:p>
      <w:r>
        <w:t>Consequently, it appears that Editis's market share in the markets for audiovisual adaptation rights of French-language literary works is consistently below 20%. The new entity will face significant competitors in this market, such as Madrigall (Gallimard and Flammarion), Hachette, Média-Participations (Dupuis, Le Lombard, and Dargaud), and Actes Sud.</w:t>
      </w:r>
    </w:p>
    <w:p>
      <w:r>
        <w:t>Regarding GCP, the notifying party specifies that it does not, except in exceptional cases, directly acquire audiovisual adaptation rights of French-language literary works from publishers or authors39. These rights are generally acquired by independent producers, with GCP acting as co-producers of the projects it chooses to finance.</w:t>
      </w:r>
    </w:p>
    <w:p>
      <w:r>
        <w:t>One way to estimate GCP's market share as a producer could be to take into account all of GCP's productions for its own channels. Indeed, for these productions, GCP controls the entire value chain, from project selection to dissemination. If the operation were to create a locking effect on customer access, this effect would likely be stronger for GCP's productions for its own channels than for the films for which GCP cannot control the dissemination.</w:t>
      </w:r>
    </w:p>
    <w:p>
      <w:r>
        <w:t>However, over the past three years, none of GCP's original productions for its channels has been an audiovisual adaptation of a French-language literary work. GCP's share of the market for audiovisual adaptation rights of literary works can therefore be considered negligible.</w:t>
      </w:r>
    </w:p>
    <w:p>
      <w:r>
        <w:t>Consequently, the operation is not likely to harm competition through vertical effects in these markets.</w:t>
      </w:r>
    </w:p>
    <w:p>
      <w:r>
        <w:t>3. MARKET FOR LITERARY ADAPTATION RIGHTS</w:t>
      </w:r>
    </w:p>
    <w:p>
      <w:r>
        <w:t>In this case, the operation is also likely to generate vertical effects in the literary adaptation rights markets, as GCP may hold literary adaptation rights for audiovisual works and Editis may acquire such rights.</w:t>
      </w:r>
    </w:p>
    <w:p>
      <w:r>
        <w:t>Regarding series, the notifying party indicates that it has not transferred literary adaptation rights for series or cartoons in the past five years. Regarding films, GCP has exclusively transferred literary adaptation rights for [0-5] animated films, including [0-5] French animated films and [0-5] European animated films.</w:t>
      </w:r>
    </w:p>
    <w:p>
      <w:r>
        <w:t>Editis has indicated that it primarily acquires literary adaptation rights for cartoons. The works resulting from these rights represented [10-20] titles and less than 0.5% of its revenue in 2017. [Confidential] titles acquired [Confidential] held by GCP.</w:t>
      </w:r>
    </w:p>
    <w:p>
      <w:r>
        <w:t>The operation will not lead to a locking of inputs, as many producers are present alongside GCP in the market. In this regard, in the specific market for animated films, GCP competes notably with Disney, Illumination, and Dreamworks. The existence of a locking effect on customer access can be excluded as Editis's activity is very limited. It competes in this market with other players, notably Hachette, which publishes books inspired by Disney films (Frozen, Star Wars).</w:t>
      </w:r>
    </w:p>
    <w:p>
      <w:r>
        <w:t>Consequently, the operation is not likely to harm competition through vertical effects in these markets.</w:t>
      </w:r>
    </w:p>
    <w:p>
      <w:r>
        <w:t>B. ANALYSIS OF CONGLOMERATE EFFECTS</w:t>
      </w:r>
    </w:p>
    <w:p>
      <w:r>
        <w:t>A concentration is also likely to lead to conglomerate effects when the new entity extends or strengthens its presence in markets that are connected to other markets in which it holds market power. Some conglomerate concentrations can indeed produce restrictive competition effects when they allow for the technical or commercial tying of the sales of the new entity's products in a way that locks the market and excludes competitors.</w:t>
      </w:r>
    </w:p>
    <w:p>
      <w:r>
        <w:t>However, the guidelines of the Competition Authority indicate that it is unlikely that a concentration will pose a risk of conglomerate effects if the new entity does not benefit from a strong position in a market from which it can leverage its power. The guidelines refer, in this regard, to a threshold of 30% market share for assessing this market position40.</w:t>
      </w:r>
    </w:p>
    <w:p>
      <w:r>
        <w:t>In this case, the operation is likely to generate conglomerate effects in the markets for the supply of physical and digital books on one hand and recorded music on physical and digital media on the other. The new entity could indeed implement tied sales strategies between these two products, either on physical media or on digital media.</w:t>
      </w:r>
    </w:p>
    <w:p>
      <w:r>
        <w:t>a) Analysis of the leverage effect implemented from the wholesale book sales markets</w:t>
      </w:r>
    </w:p>
    <w:p>
      <w:r>
        <w:t>On the markets for the sale of books to resellers, Editis has a market share exceeding 30% in several markets: the physical sale of pocket books to GSA ([30-40]%), the sale of school textbooks to category 1 and 2 resellers ([30-40]%) and to online resellers ([30-40]%), and the sale of monolingual dictionaries to various resellers (at least [30-40]% market share in each distribution channel).</w:t>
      </w:r>
    </w:p>
    <w:p>
      <w:r>
        <w:t>First, not all resellers are affected by the conglomerate effects as a large part of booksellers do not distribute, or do so very marginally, recorded music.</w:t>
      </w:r>
    </w:p>
    <w:p>
      <w:r>
        <w:t>Moreover, the organization mode of resellers distributing books and music limits a book and music publisher's ability to implement tied sales strategies. The two products are negotiated and purchased by distinct and specialized buyers. This specialization is explained by the necessity for buyers to have in-depth knowledge of the products to select those that will be referenced among a large offer of books and music. Furthermore, the commercial negotiations for books and music are different. Indeed, the specific regulation of the price of physical and digital books implies that negotiations focus exclusively on both qualitative and quantitative discounts41, while negotiations for recorded music are free.</w:t>
      </w:r>
    </w:p>
    <w:p>
      <w:r>
        <w:t>Additionally, certain categories of books on which Editis has a significant market share may limit its ability to implement a leverage effect. Indeed, apart from pocket books, Editis has significant market shares but always below 40% in school textbooks and monolingual dictionaries, the sale of which is subject to certain seasonality (back-to-school period) and which represent a limited share of purchases by the concerned actors (less than 1% of total purchases made from Editis by level 1 and 2 retailers). Consequently, in the event of implementing a leverage effect, customers refusing such a mechanism would only be penalized during the period around the back-to-school period and only on a portion of their offer of school textbooks and monolingual dictionaries. Indeed, Editis faces at least one significant competitor in these markets, Hachette, which has a market share in monolingual dictionaries ranging from [40-50]% to [60-70]% depending on the distribution channel and a market share ranging from [30-40]% to [40-50]% in school books. Furthermore, it can be noted that some of these books are not available in digital format, which limits the ability to implement such a leverage effect on certain platforms offering exclusively digital formats.</w:t>
      </w:r>
    </w:p>
    <w:p>
      <w:r>
        <w:t>Finally, customers of the new entity have significant negotiating power, which limits the ability and incentives to implement a leverage effect. For example, Fnac/Darty, Cultura, Leclerc (cultural spaces and sales in GSA), and Amazon represent [30-40]% of the revenue generated by Editis from physical book sales in France.</w:t>
      </w:r>
    </w:p>
    <w:p>
      <w:r>
        <w:t>b) Analysis of the leverage effect implemented from the recorded music markets</w:t>
      </w:r>
    </w:p>
    <w:p>
      <w:r>
        <w:t>The Vivendi group has a market share exceeding 30% for the sale of recorded music on physical media to retailers ([30-40]%), to GSA ([40-50]%) and to</w:t>
      </w:r>
    </w:p>
    <w:p>
      <w:r>
        <w:rPr>
          <w:b/>
        </w:rPr>
        <w:t>[Pages 16–16]</w:t>
      </w:r>
    </w:p>
    <w:p>
      <w:r>
        <w:t xml:space="preserve">resellers online ([30-40]%), as well as a market share of [30-40]% in the wholesale market for digital recorded music.  </w:t>
        <w:br/>
        <w:t xml:space="preserve">105. Firstly, some of the players distributing music do not distribute books. This particularly concerns the players offering recorded music on digital media. Indeed, the two main clients of UMG for digital recorded music, [Confidential], do not offer books. Thus, only large platforms such as Google (digital books only), Amazon (physical and digital books), and Apple (digital books only) would be concerned by any potential tying sales between books and music.  </w:t>
        <w:br/>
        <w:t xml:space="preserve">106. Furthermore, as developed in paragraph 99, the purchasing managers of clients are different for books and for music, with negotiations not focusing on the same criteria, as the price of books is regulated in France.  </w:t>
        <w:br/>
        <w:t xml:space="preserve">107. In addition, the clients of the new entity have significant bargaining power, which limits the ability and incentives to create a leveraging effect. The notifying party indicates in this regard that [Confidential] represents respectively [40-50]% of UMG's sales of physical music in France.  </w:t>
        <w:br/>
        <w:t xml:space="preserve">108. Finally, in the specific case of pure players, the leveraging effect is reduced on one hand, by the ability of these players to reference an entire catalog without shelf constraints and, on the other hand, by their international presence. Indeed, the new entity will have to negotiate with international players such as Apple, Amazon, and Google. Any strategy aimed at leveraging to favor books published by Editis, which could have a positive effect primarily on French-speaking markets, risks degrading the position of the new entity in the digital recorded music market across all international markets.  </w:t>
        <w:br/>
        <w:t xml:space="preserve">109. Consequently, the operation is not likely to harm competition through conglomerate effects in these markets.  </w:t>
        <w:br/>
        <w:t xml:space="preserve">DECIDES  </w:t>
        <w:br/>
        <w:t xml:space="preserve">Sole Article: The operation notified under number 18-232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