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https://www.autoritedelaconcurrence.fr/fr/decision-de-controle-des-concentrations/relative-la-prise-de-controle-exclusif-du-groupe-edouard</w:t>
      </w:r>
    </w:p>
    <w:p>
      <w:r>
        <w:t>Pages translated : 4</w:t>
      </w:r>
    </w:p>
    <w:p/>
    <w:p>
      <w:r>
        <w:rPr>
          <w:b/>
        </w:rPr>
        <w:t>[Pages 1–3]</w:t>
      </w:r>
    </w:p>
    <w:p>
      <w:r>
        <w:t xml:space="preserve">FRENCH REPUBLIC  </w:t>
        <w:br/>
        <w:t xml:space="preserve">Decision No. 16-DCC-66 of May 4, 2016  </w:t>
        <w:br/>
        <w:t xml:space="preserve">regarding the exclusive control of the Edouard Denis Group by the Nexity Group  </w:t>
        <w:br/>
        <w:t xml:space="preserve">The Competition Authority,  </w:t>
        <w:br/>
        <w:t xml:space="preserve">Having regard to the notification file submitted in full to the concentrations service on April 4, 2016, regarding the exclusive control of the Edouard Denis Group by the Nexity Group, formalized by a share transfer agreement dated March 1, 2016;  </w:t>
        <w:br/>
        <w:t xml:space="preserve">Having regard to Book IV of the Commercial Code relating to the freedom of prices and competition, and in particular its Articles L. 430-1 to L. 430-7;  </w:t>
        <w:br/>
        <w:t xml:space="preserve">Adopts the following decision:  </w:t>
        <w:br/>
        <w:t xml:space="preserve">I. The concerned companies and the transaction  </w:t>
        <w:br/>
        <w:t xml:space="preserve">1. Nexity SA (hereinafter "Nexity") is the company at the head of the Nexity group active in the sectors of real estate promotion and services in France and Europe. The Nexity group is notably active in the sector of real estate services for individuals and professionals (rental management, property management, management of student residences, management of purchase/sale and rental transactions, advisory and property management, and real estate insurance brokerage) through its subsidiaries and the franchise networks Century 21 France and Guy Hoquet L’immobilier.  </w:t>
        <w:br/>
        <w:t xml:space="preserve">2. Until June 2014, Nexity SA was controlled by the Banque Populaire Caisse d’Épargne group (hereinafter "BPCE"). Through two share transfer operations in May and October 2015, BPCE divested from Nexity SA to hold only 12.8% of the capital and voting rights, and thus no longer exerts a determining influence on Nexity. Furthermore, the distribution of capital in Nexity SA shows that no other shareholder has a determining influence on the Nexity group within the meaning of concentration control.  </w:t>
        <w:br/>
        <w:t>3. Edouard Denis Développement is the parent holding company of the Edouard Denis group primarily active in the sector of residential real estate promotion. The company Edouard Denis Développement is exclusively controlled by Mr. Edouard Denis, who holds 79% of its capital.</w:t>
      </w:r>
    </w:p>
    <w:p>
      <w:r>
        <w:t xml:space="preserve">4. The notified transaction, formalized by a share transfer agreement dated March 1, 2016, involves the acquisition of 55% of the capital of the company Edouard Denis Développement by the Nexity group. According to the draft shareholders' agreement, the company will have a board of directors composed of five members, three of whom will be appointed by Nexity and two by Mr. Edouard Denis. Decisions of the board of directors will be made by a simple majority. As it results in the exclusive control of the company Edouard Denis Développement by the Nexity group, the notified transaction constitutes a concentration within the meaning of Article L. 430-1 of the Commercial Code.  </w:t>
        <w:br/>
        <w:t xml:space="preserve">5. The companies concerned together achieve a total worldwide turnover excluding tax of more than 150 million euros (Nexity Group: 2,876 million euros for the fiscal year ending December 31, 2015; Edouard Denis Group: […] euros for the same fiscal year). They achieve a turnover in France exceeding 50 million euros (Nexity Group: 2,822 million euros for the fiscal year ending December 31, 2015; Edouard Denis Group: […] euros for the same fiscal year). The control thresholds of Article L. 430-3 of the Commercial Code are therefore exceeded. Given these turnover figures, the transaction does not fall under the jurisdiction of the European Union. The concentration is therefore subject to the provisions of Articles L. 430-3 and following of the Commercial Code relating to economic concentration.  </w:t>
        <w:br/>
        <w:t xml:space="preserve">II. Definition of relevant markets  </w:t>
        <w:br/>
        <w:t xml:space="preserve">A. THE MARKETS FOR PRODUCTS AND SERVICES  </w:t>
        <w:br/>
        <w:t xml:space="preserve">6. National1 and European2 competition authorities have considered, while leaving the question open, various segmentations in the real estate services sector according to (i) the recipients of the services, the properties being intended either for individuals, the concerned buildings being for residential use, or for businesses, the concerned buildings being for commercial or professional use, (ii) the pricing method, between free residential real estate and social or intermediate housing, the latter being part of a specific regulatory framework in which the State plays an important role, both in terms of financial aid and allocation of housing, (iii) the type of activity carried out in the premises (offices, commercial premises, and other activity premises such as warehouses or hotels), and (iv) the nature of the services or goods offered.  </w:t>
        <w:br/>
        <w:t xml:space="preserve">7. For this last segmentation, the following services have been identified:  </w:t>
        <w:br/>
        <w:t xml:space="preserve">(i) real estate promotion which includes the activities of construction and sale of real estate;  </w:t>
        <w:br/>
        <w:t xml:space="preserve">(ii) management of real estate assets for one's own account;  </w:t>
        <w:br/>
        <w:t xml:space="preserve">1 See in particular the decisions of the Competition Authority No. 09-DCC-16 of June 22, 2009, regarding the merger between the Caisse d’Épargne and Banque Populaire groups, No. 15-DCC-156 of December 7, 2015, regarding the joint control of a real estate asset for office use by Sogecap and Prédica, No. 14-DCC-46 of April 1, 2014, regarding the joint control of an industrial real estate asset in Moselle by Norges Bank and Prologis, as well as decision C2008-79 / Letter from the Minister of Economy, Industry and Employment of August 22, 2008, to the boards of the companies CDC and Eurosic, regarding a concentration in the real estate sector, BOCCRF No. 8 bis of October 23, 2008.  </w:t>
        <w:br/>
        <w:t>2 See the decisions of the European Commission COMP/M.2110 Deutsche Bank / SEI / JV of September 25, 2000, IV/M.2825 Fortis AG SA / Bernheim-Comofi SA of July 9, 2002, COMP/M.3370 BNP Paribas/ARI of March 9, 2004.</w:t>
      </w:r>
    </w:p>
    <w:p>
      <w:r>
        <w:t xml:space="preserve">(iii) the management of real estate assets on behalf of third parties (institutional investors, primarily banks and insurance companies) which includes real estate portfolio advisory and management (arbitrage and asset valuation), structuring of real estate investment operations, and management of real estate assets and specialized investment vehicles (notably real estate civil companies);  </w:t>
        <w:br/>
        <w:t xml:space="preserve">(iv) the administration of real estate properties which includes the management activities of buildings on behalf of owners and can be segmented between rental management and co-ownership management;  </w:t>
        <w:br/>
        <w:t xml:space="preserve">(v) real estate appraisal;  </w:t>
        <w:br/>
        <w:t xml:space="preserve">(vi) real estate advisory;  </w:t>
        <w:br/>
        <w:t xml:space="preserve">(vii) intermediation in real estate transactions for which the intermediation in purchase/sale operations is distinguished from the intermediation in rental operations.  </w:t>
        <w:br/>
        <w:t xml:space="preserve">8. The question of the exact delimitation of the markets may be left open, as the conclusions of the competitive analysis remain unchanged regardless of the delimitations retained.  </w:t>
        <w:br/>
        <w:t xml:space="preserve">9. In this case, the parties are simultaneously active in the overall market for residential real estate promotion, as well as in the segments of free residential housing and social housing.  </w:t>
        <w:br/>
        <w:t xml:space="preserve">B. THE GEOGRAPHICAL MARKETS  </w:t>
        <w:br/>
        <w:t xml:space="preserve">10. The decision-making practice3 considers that the markets related to the real estate sector are of a local dimension, while leaving the question open. However, the analysis has already been conducted at the national level for real estate services aimed at businesses when the operations were carried out by groups of national scope following a strategy of territorial coverage.  </w:t>
        <w:br/>
        <w:t xml:space="preserve">11. For the Île-de-France region, the Minister of Economy noted that "the Paris region has particular properties of continuity of urban areas. Indeed, there is a vast, highly urbanized, and homogeneous area covering most of Île-de-France, served by a global transport network; residents are always able to arbitrate between different parts of the region. This substitutability leads to a convergence at the price level. Therefore, the regional level is the most appropriate for competitive analysis."4. For other regions, competition authorities have conducted their competitive analyses at the regional or sub-regional level.  </w:t>
        <w:br/>
        <w:t xml:space="preserve">12. In this case, the activities of the parties overlap in the regions of Île-de-France, Haute-Normandie, Nord-Pas-de-Calais, Picardie, Pays-de-la-Loire, Aquitaine, and Rhône-Alpes. At the departmental level, the parties are simultaneously active in Paris, in Seine-et-Marne,  </w:t>
        <w:br/>
        <w:t xml:space="preserve">3 See in particular decisions No. 09-DCC-16 mentioned above and C2005-108 / Letter from the Minister of Economy, Finance, and Industry of November 25, 2005, to the board of the company Foncière des Régions regarding a concentration in the real estate sector, BOCCRF No. 6 bis of June 21, 2006, as well as the decision of the Commission M. 2825 mentioned above.  </w:t>
        <w:br/>
        <w:t>4 See decision C2006-151/ Letter from the Minister of Economy, Finance, and Industry of January 10, 2007, to the board of the Société Nationale Immobilière group, regarding a concentration in the sector of development and management of real estate parks primarily for residential purposes, BOCCRF No. 3 bis of March 23, 2007.</w:t>
      </w:r>
    </w:p>
    <w:p>
      <w:r>
        <w:rPr>
          <w:b/>
        </w:rPr>
        <w:t>[Pages 4–4]</w:t>
      </w:r>
    </w:p>
    <w:p>
      <w:r>
        <w:t xml:space="preserve">Seine-Saint-Denis, Essonne, Val-de-Marne, Val d’Oise, Seine-Maritime, Nord, Oise, Somme, Loire Atlantique, Gironde, Pyrénées-Atlantiques, Rhône, and Haute-Savoie. Finally, if one considers an analysis at the level of the urban area, the parties are simultaneously present in Rouen, Lille, Beauvais, Creil, Amiens, Nantes, Bordeaux, Bayonne, Lyon, Cluses, and Thenon les Bains.  </w:t>
        <w:br/>
        <w:t xml:space="preserve">13. The question of the exact geographical delimitation of the markets will, however, be left open, with the conclusions of the competitive analysis remaining unchanged, regardless of the delimitations retained.  </w:t>
        <w:br/>
        <w:t xml:space="preserve">III. Competitive Analysis  </w:t>
        <w:br/>
        <w:t xml:space="preserve">14. Except for the Picardie region, in all geographical areas where the operation leads to an overlap, the new entity will hold a market share of less than 21% regardless of the segmentation retained. In terms of real estate development, it will continue to face competition from numerous operators such as Bouygues Immobilier, Vinci Immobilier, Altéra-Cogedim, and Eiffage Immobilier.  </w:t>
        <w:br/>
        <w:t xml:space="preserve">15. In Picardie, the cumulative market share of the parties at the regional level will exceed 25% in the sole segment of free residential real estate ([20-30]%). In this region, their activities will particularly overlap in Oise (60) and Somme (80) as well as in the urban areas of Beauvais, Creil, and Amiens. In these different areas, the position of the new entity will exceed 25% only in the market for free residential real estate in the department of Somme ([30-40]%), Creil ([20-30]%), and Amiens ([30-40]%). In these areas, the new entity will remain subject to competition from developers Vinci Immobilier, Eiffage Immobilier, Nacarat, and BDP Marignan.  </w:t>
        <w:br/>
        <w:t xml:space="preserve">16. Given the above, the operation is not likely to harm competition in the various markets of real estate development.  </w:t>
        <w:br/>
        <w:t xml:space="preserve">DECIDES  </w:t>
        <w:br/>
        <w:t xml:space="preserve">Sole Article: The notified operation under number 16-048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