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https://www.autoritedelaconcurrence.fr/fr/decision-de-controle-des-concentrations/relative-la-prise-de-controle-exclusif-du-groupe-ekium-par</w:t>
      </w:r>
    </w:p>
    <w:p>
      <w:r>
        <w:t>Pages translated : 3</w:t>
      </w:r>
    </w:p>
    <w:p/>
    <w:p>
      <w:r>
        <w:rPr>
          <w:b/>
        </w:rPr>
        <w:t>[Pages 1–3]</w:t>
      </w:r>
    </w:p>
    <w:p>
      <w:r>
        <w:t xml:space="preserve">FRENCH REPUBLIC  </w:t>
        <w:br/>
        <w:t xml:space="preserve">Decision No. 17-DCC-70 of May 31, 2017  </w:t>
        <w:br/>
        <w:t xml:space="preserve">regarding the exclusive control of the Ekium group by the Snef group  </w:t>
        <w:br/>
        <w:t xml:space="preserve">The Competition Authority,  </w:t>
        <w:br/>
        <w:t xml:space="preserve">Having regard to the notification file submitted in full to the merger service on April 28, 2017, regarding the exclusive control of the Ekium group by the Snef group, formalized by a unilateral purchase promise dated February 21, 2017;  </w:t>
        <w:br/>
        <w:t xml:space="preserve">Having regard to Book IV of the Commercial Code relating to the freedom of prices and competition, and in particular its Articles L. 430-1 to L. 430-7;  </w:t>
        <w:br/>
        <w:t xml:space="preserve">Having regard to the supplementary elements transmitted by the notifying party during the investigation;  </w:t>
        <w:br/>
        <w:t xml:space="preserve">Adopts the following decision:  </w:t>
        <w:br/>
        <w:t xml:space="preserve">I. The companies concerned and the operation  </w:t>
        <w:br/>
        <w:t xml:space="preserve">1. The Snef group (hereinafter "Snef") has as its group head the company Snef SA, which is majority-owned by [confidential], itself exclusively controlled by Mr. [X]. Snef operates in the sectors of energy, industrial processes, telecommunications for industry, and information technology.  </w:t>
        <w:br/>
        <w:t xml:space="preserve">2. The Ekium group (hereinafter "Ekium") is composed of the companies Ekium SAS, Ekium Benelux, Cira Concept International, Consultec Ltd, Ekium North America, GLI, Xpere, and Ingenesys. These companies are directly or indirectly owned by Ekium Group. Ekium is active in the industrial and tertiary engineering sector, particularly in the automation markets.  </w:t>
        <w:br/>
        <w:t xml:space="preserve">3. The operation, formalized by a unilateral purchase promise signed by the parties on February 21, 2017, consists of Snef acquiring all of the share capital and voting rights of the Ekium group. As it results in the exclusive control of Ekium by Snef, the notified operation constitutes a concentration within the meaning of Article L. 430-1 of the Commercial Code.  </w:t>
        <w:br/>
        <w:t xml:space="preserve">4. The companies concerned together achieve a total worldwide turnover excluding taxes of more than 150 million euros (Snef: 928 million euros for the fiscal year ending December 31, 2016; Ekium: 68 million euros for the same fiscal year). Each of these companies achieved a turnover in France exceeding 50 million euros (Snef: 713.2 million euros for the fiscal year ending December 31, 2016; Ekium: 68 million euros for the same fiscal year). Given these turnovers, the operation does not fall under the jurisdiction of the European Union. However, the control thresholds mentioned in I of Article L. 430-2 of the Commercial Code are exceeded. This operation is therefore subject to the provisions of Articles L. 430-3 and following of the Commercial Code relating to economic concentration.  </w:t>
        <w:br/>
        <w:t xml:space="preserve">II. Definition of the relevant markets  </w:t>
        <w:br/>
        <w:t xml:space="preserve">5. The parties are concurrently active in the industrial supplies sector, and more specifically in the automation markets.  </w:t>
        <w:br/>
        <w:t xml:space="preserve">6. The decision-making practice has considered that the industrial supplies sector can be segmented into as many markets as there are families of products, insofar as each family of products serves a particular function and these families are not substitutable for one another in the eyes of professionals. The following markets have thus been identified: (i) tooling, (ii) machining, (iii) transmission, (iv) automation, (v) assembly, (vi) equipment, and (vii) protection, hygiene, and safety.  </w:t>
        <w:br/>
        <w:t xml:space="preserve">7. Similar to the segmentation already considered for the machining segment, the possibility of a finer segmentation of the automation market by sectors of activity could be retained in this case.  </w:t>
        <w:br/>
        <w:t xml:space="preserve">8. Regarding the geographical delimitation of the industrial supplies markets, the decision-making practice has analyzed the effects of concentration operations at the national and regional levels.  </w:t>
        <w:br/>
        <w:t xml:space="preserve">9. However, the question of the exact delimitation of the relevant markets can be left open, as the conclusions of the competitive analysis remain unchanged regardless of the segmentation retained.  </w:t>
        <w:br/>
        <w:t xml:space="preserve">III. Competitive analysis  </w:t>
        <w:br/>
        <w:t xml:space="preserve">10. The parties are simultaneously present in the automation market, particularly in the energy and industry segments.  </w:t>
        <w:br/>
        <w:t xml:space="preserve">11. In the automation market, the combined market share of the parties is less than 5% at the national level.  </w:t>
        <w:br/>
        <w:t xml:space="preserve">12. At the regional level, the activities of the parties overlap in the former regions of Île-de-France, Nord, Normandie, Provence-Alpes-Côte d’Azur, Rhône-Alpes, and Sud-Ouest. However, their combined market share remains below 5% in each of these regions, regardless of the segmentation considered (automation across all sectors, automation in the energy sector, automation in the industrial sector).  </w:t>
        <w:br/>
        <w:t xml:space="preserve">13. Consequently, the notified operation is not likely to harm competition through horizontal effects.  </w:t>
        <w:br/>
        <w:t xml:space="preserve">DECIDES  </w:t>
        <w:br/>
        <w:t xml:space="preserve">Sole Article: The operation notified under number 17-044 is authorized.  </w:t>
        <w:br/>
        <w:t xml:space="preserve">The President,  </w:t>
        <w:br/>
        <w:t xml:space="preserve">Isabelle de Silva  </w:t>
        <w:br/>
        <w:t>© Competition Authority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