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https://www.autoritedelaconcurrence.fr/fr/decision-de-controle-des-concentrations/relative-la-prise-de-controle-exclusif-du-groupe-energygo</w:t>
      </w:r>
    </w:p>
    <w:p>
      <w:r>
        <w:t>Pages translated : 2</w:t>
      </w:r>
    </w:p>
    <w:p/>
    <w:p>
      <w:r>
        <w:rPr>
          <w:b/>
        </w:rPr>
        <w:t>[Pages 1–2]</w:t>
      </w:r>
    </w:p>
    <w:p>
      <w:r>
        <w:t xml:space="preserve">FRENCH REPUBLIC  </w:t>
        <w:br/>
        <w:t xml:space="preserve">Decision No. 22-DCC-124 of July 11, 2022  </w:t>
        <w:br/>
        <w:t xml:space="preserve">regarding the exclusive control acquisition of the EnergyGo group by the  </w:t>
        <w:br/>
        <w:t xml:space="preserve">Solutions 30 group  </w:t>
        <w:br/>
        <w:t xml:space="preserve">The Competition Authority,  </w:t>
        <w:br/>
        <w:t xml:space="preserve">Having regard to the complete notification file submitted to the mergers department on June 24, 2022,  </w:t>
        <w:br/>
        <w:t xml:space="preserve">concerning the exclusive control acquisition of the EnergyGo group by the Solutions 30 group, formalized  </w:t>
        <w:br/>
        <w:t xml:space="preserve">by the signing of a memorandum of understanding on June 20, 2022;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Solutions 30 group of the  </w:t>
        <w:br/>
        <w:t xml:space="preserve">EnergyGo group, active in the climate engineering sector. It constitutes a concentration operation under  </w:t>
        <w:br/>
        <w:t xml:space="preserve">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22-133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