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https://www.autoritedelaconcurrence.fr/fr/decision-de-controle-des-concentrations/relative-la-prise-de-controle-exclusif-du-groupe-entoria-0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26-DCC-15 of January 20, 2026  </w:t>
        <w:br/>
        <w:t xml:space="preserve">regarding the exclusive control acquisition  </w:t>
        <w:br/>
        <w:t xml:space="preserve">of the Entoria group by the HLD Europe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22, 2025, concerning the exclusive control acquisition of the Entoria group by the  </w:t>
        <w:br/>
        <w:t xml:space="preserve">HLD Europe group, formalized by a purchase agreement dated December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of 100% of the share capital and voting rights of  </w:t>
        <w:br/>
        <w:t xml:space="preserve">Fides Acquisitions, the parent company of the Entoria group, by an investment vehicle  </w:t>
        <w:br/>
        <w:t xml:space="preserve">specially created for the purpose of the transaction by HLD Europe, which will be exclusively  </w:t>
        <w:br/>
        <w:t xml:space="preserve">controlled and held at more than 95% by HLD Europe, the remainder being held by the management  </w:t>
        <w:br/>
        <w:t xml:space="preserve">of the Entoria group. The relevant sector is that of brokerage distribution of insurance products on behalf of third parties. The transaction constitutes a concentration within the meaning of Article  </w:t>
        <w:br/>
        <w:t xml:space="preserve">L. 430-1 of the Commercial Code. Given the turnover achieved by the companies involved, the transaction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transaction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transaction under number 25-368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