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https://www.autoritedelaconcurrence.fr/fr/decision-de-controle-des-concentrations/relative-la-prise-de-controle-exclusif-du-groupe-entoria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25-DCC-04 of January 16, 2025</w:t>
        <w:br/>
        <w:t>regarding the exclusive control acquisition of the Entoria group</w:t>
        <w:br/>
        <w:t>by the company Alcentra</w:t>
        <w:br/>
        <w:t>The Competition Authority,</w:t>
        <w:br/>
        <w:t>Having regard to the complete notification file submitted to the mergers department on</w:t>
        <w:br/>
        <w:t>December 23, 2024, concerning the exclusive control acquisition of the Entoria group by the company</w:t>
        <w:br/>
        <w:t>Alcentra, formalized by a transfer promise dated November 23, 2023, a letter agreement dated</w:t>
        <w:br/>
        <w:t>December 9, 2024, and a draft shareholders' agreement dated December 20, 2024;</w:t>
        <w:br/>
        <w:t>Having regard to Book IV of the Commercial Code relating to the freedom of prices and competition, and</w:t>
        <w:br/>
        <w:t>in particular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acquisition, by the company Alcentra Limited, of the exclusive control</w:t>
        <w:br/>
        <w:t>of Fides Acquisitions S.A.S., Entoria S.A.S., and Centre de Gestion Vie S.A.S., which together form</w:t>
        <w:br/>
        <w:t>the Entoria group, which is active in the sector of distribution of personal insurance products, in particular</w:t>
        <w:br/>
        <w:t>complementary health insurance and provident products. The operation constitutes a concentration within the meaning of Article L. 430-1 of the Commercial Code. Given the turnover achieved by the concerned companies,</w:t>
        <w:br/>
        <w:t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24-325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