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https://www.autoritedelaconcurrence.fr/fr/decision-de-controle-des-concentrations/relative-la-prise-de-controle-exclusif-du-groupe-epc-par-la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20-DCC-15 of February 5, 2020  </w:t>
        <w:br/>
        <w:t xml:space="preserve">regarding the exclusive control acquisition of the EPC group by the company  </w:t>
        <w:br/>
        <w:t xml:space="preserve">Argos Wityu SAS  </w:t>
        <w:br/>
        <w:t>The Competition Authority,</w:t>
      </w:r>
    </w:p>
    <w:p>
      <w:r>
        <w:t xml:space="preserve">Having regard to the complete notification file submitted to the mergers department on January 8, 2020,  </w:t>
        <w:br/>
        <w:t xml:space="preserve">concerning the exclusive control acquisition of the EPC group by the company Argos Wityu SAS, formalized  </w:t>
        <w:br/>
        <w:t>by a purchase promise dated November 14, 2019;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Argos Wityu SAS  </w:t>
        <w:br/>
        <w:t xml:space="preserve">of the company EJ Barbier SA, the parent company of the EPC group, which is primarily active in the  </w:t>
        <w:br/>
        <w:t xml:space="preserve">market of explosive manufacturing.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control thresholds mentioned in I of Article L. 430-2 of the Commercial Code are  </w:t>
        <w:br/>
        <w:t xml:space="preserve">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The only market concerned by the operation is the logistics services market. This market is  </w:t>
        <w:br/>
        <w:t xml:space="preserve">consistently defined by the decision-making practice of the competition authorities.  </w:t>
        <w:br/>
        <w:t xml:space="preserve">3. In this market, regardless of the segmentations retained, the combined market shares of  </w:t>
        <w:br/>
        <w:t xml:space="preserve">the parties are below 25%.  </w:t>
        <w:br/>
        <w:t xml:space="preserve">4. Considering the elements of the file and notably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19-338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