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https://www.autoritedelaconcurrence.fr/fr/decision-de-controle-des-concentrations/relative-la-prise-de-controle-exclusif-du-groupe-eres-par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24-DCC-137 of July 8, 2024  </w:t>
        <w:br/>
        <w:t xml:space="preserve">regarding the exclusive control acquisition of the Eres group by the company  </w:t>
        <w:br/>
        <w:t xml:space="preserve">Eurazeo  </w:t>
        <w:br/>
        <w:t xml:space="preserve">The Competition Authority,  </w:t>
        <w:br/>
        <w:t xml:space="preserve">Having regard to the complete notification file sent to the mergers department on June 19, 2024,  </w:t>
        <w:br/>
        <w:t xml:space="preserve">concerning the exclusive control acquisition of the Eres group by the company Eurazeo, formalized by a  </w:t>
        <w:br/>
        <w:t xml:space="preserve">transfer contract signed on May 3,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Eurazeo of the company  </w:t>
        <w:br/>
        <w:t xml:space="preserve">Eres Group and its subsidiaries, active in the sectors of insurance product distribution  </w:t>
        <w:br/>
        <w:t xml:space="preserve">and financial asset management. It constitutes a concentration operation within the meaning of Article  </w:t>
        <w:br/>
        <w:t xml:space="preserve">L. 430-1 of the Commercial Code. Given the turnover achieved by the companies involved,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24-125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