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https://www.autoritedelaconcurrence.fr/fr/decision-de-controle-des-concentrations/relative-la-prise-de-controle-exclusif-du-groupe-ergalis</w:t>
      </w:r>
    </w:p>
    <w:p>
      <w:r>
        <w:t>Pages translated : 2</w:t>
      </w:r>
    </w:p>
    <w:p/>
    <w:p>
      <w:r>
        <w:rPr>
          <w:b/>
        </w:rPr>
        <w:t>[Pages 1–2]</w:t>
      </w:r>
    </w:p>
    <w:p>
      <w:r>
        <w:t xml:space="preserve">FRENCH REPUBLIC  </w:t>
        <w:br/>
        <w:t xml:space="preserve">Decision No. 22-DCC-178 of 30 September 2022  </w:t>
        <w:br/>
        <w:t>regarding the exclusive control acquisition of the Ergalis group by the Actual Leader group</w:t>
      </w:r>
    </w:p>
    <w:p>
      <w:r>
        <w:t>The Competition Authority,</w:t>
      </w:r>
    </w:p>
    <w:p>
      <w:r>
        <w:t>Having regard to the complete notification file submitted to the mergers department on 15 September 2022, concerning the exclusive control acquisition by Samlion Invest, the parent company of the Actual Leader group, of Finergal, the parent company of the Ergalis group, formalized by a purchase promise dated 13 July 2022;</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Ergalis group, active in the temporary employment and recruitment sector, by Samlion Invest, which is also active in the temporary employment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22-201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