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https://www.autoritedelaconcurrence.fr/fr/decision-de-controle-des-concentrations/relative-la-prise-de-controle-exclusif-du-groupe-eris-par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25-DCC-86 of April 10, 2025  </w:t>
        <w:br/>
        <w:t xml:space="preserve">regarding the exclusive control acquisition of the Eris group by the company  </w:t>
        <w:br/>
        <w:t xml:space="preserve">Charterhouse Capital Partners XI  </w:t>
        <w:br/>
        <w:t xml:space="preserve">The Competition Authority,  </w:t>
        <w:br/>
        <w:t xml:space="preserve">Having regard to the complete notification file submitted to the mergers department on March 17, 2025,  </w:t>
        <w:br/>
        <w:t xml:space="preserve">concerning the exclusive control acquisition of the Eris group by the company Vesta Bidco, ultimately  </w:t>
        <w:br/>
        <w:t xml:space="preserve">controlled by the company Charterhouse Capital Partners XI, formalized by a transfer contract  </w:t>
        <w:br/>
        <w:t xml:space="preserve">signed on March 10,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The notified operation consists of the acquisition by the company Vesta Bidco, ultimately controlled  </w:t>
        <w:br/>
        <w:t xml:space="preserve">by the company Charterhouse Capital Partners XI, of the exclusive control of the Eris group, consisting  </w:t>
        <w:br/>
        <w:t xml:space="preserve">of the company Société de Protection et de Prévention Incendie and all of its subsidiaries,  </w:t>
        <w:br/>
        <w:t xml:space="preserve">which are notably active in the field of installation and maintenance of fire safety systems,  </w:t>
        <w:br/>
        <w:t xml:space="preserve">electronic security, and gas detection. The operation constitutes a concentration within the meaning of  </w:t>
        <w:br/>
        <w:t xml:space="preserve">Article L. 430-1 of the Commercial Code. Given the turnover achieved by the companies concerned,  </w:t>
        <w:br/>
        <w:t xml:space="preserve">the operation does not fall under the jurisdiction of the European Union. On the other hand, the control  </w:t>
        <w:br/>
        <w:t xml:space="preserve">thresholds mentioned in I of Article L. 430-2 of the Commercial Code are exceeded. This operation is  </w:t>
        <w:br/>
        <w:t xml:space="preserve">therefore subject to the provisions of Articles L. 430-3 and following of the Commercial Code relating  </w:t>
        <w:br/>
        <w:t xml:space="preserve">to economic concentration.  </w:t>
        <w:br/>
        <w:t xml:space="preserve">1.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25-078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