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https://www.autoritedelaconcurrence.fr/fr/decision-de-controle-des-concentrations/relative-la-prise-de-controle-exclusif-du-groupe-etanco-par</w:t>
      </w:r>
    </w:p>
    <w:p>
      <w:r>
        <w:t>Pages translated : 2</w:t>
      </w:r>
    </w:p>
    <w:p/>
    <w:p>
      <w:r>
        <w:rPr>
          <w:b/>
        </w:rPr>
        <w:t>[Pages 1–2]</w:t>
      </w:r>
    </w:p>
    <w:p>
      <w:r>
        <w:t xml:space="preserve">French Republic  </w:t>
        <w:br/>
        <w:t xml:space="preserve">Decision No. 18-DCC-139 of August 16, 2018  </w:t>
        <w:br/>
        <w:t xml:space="preserve">concerning the exclusive control acquisition of the Etanco group by  </w:t>
        <w:br/>
        <w:t xml:space="preserve">Intermediate Capital Group PLC  </w:t>
        <w:br/>
        <w:t xml:space="preserve">The Competition Authority,  </w:t>
        <w:br/>
        <w:t xml:space="preserve">Having regard to the complete notification file submitted to the mergers department on July 18, 2018,  </w:t>
        <w:br/>
        <w:t xml:space="preserve">concerning the exclusive control acquisition of Echezeaux Groupe SAS, the holding company of the Etanco group, by Intermediate Capital Group PLC, via the company ICG Europe Fund VII SCSp, and formalized by an acquisition contract dated June 25,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Intermediate Capital Group PLC, via the company ICG Europe Fund VII SCSp, of Echezeaux Groupe SAS, the holding company of the Etanco group, which is active in the building fasteners sector. It constitutes a concentration operation within the meaning of Article L. 430-1 of the Commercial Code. Given the revenues generated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18-141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