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https://www.autoritedelaconcurrence.fr/fr/decision-de-controle-des-concentrations/relative-la-prise-de-controle-exclusif-du-groupe-etc-par-le</w:t>
      </w:r>
    </w:p>
    <w:p>
      <w:r>
        <w:t>Pages translated : 2</w:t>
      </w:r>
    </w:p>
    <w:p/>
    <w:p>
      <w:r>
        <w:rPr>
          <w:b/>
        </w:rPr>
        <w:t>[Pages 1–2]</w:t>
      </w:r>
    </w:p>
    <w:p>
      <w:r>
        <w:t xml:space="preserve">FRENCH REPUBLIC  </w:t>
        <w:br/>
        <w:t xml:space="preserve">Decision No. 22-DCC-169 of September 9, 2022  </w:t>
        <w:br/>
        <w:t xml:space="preserve">regarding the exclusive control acquisition of the ETC group by the Cinven group  </w:t>
        <w:br/>
        <w:t>The Competition Authority,</w:t>
      </w:r>
    </w:p>
    <w:p>
      <w:r>
        <w:t>Having regard to the complete notification file submitted to the mergers department on August 16, 2022, concerning the exclusive control acquisition of Telemachus Holding, the parent company of the ETC group, by Cinven Capital Management (VII) General Partner Limited, belonging to the Cinven group, formalized by a transfer agreement signed on June 17, 2022;</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ETC group, active in the telecommunications cable distribution sector, by the Cinven group. It constitutes a concentration operation within the meaning of Article L. 430-1 of the Commercial Code. Given the revenues generated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