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https://www.autoritedelaconcurrence.fr/fr/decision-de-controle-des-concentrations/relative-la-prise-de-controle-exclusif-du-groupe-etoile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22-DCC-230 of November 29, 2022  </w:t>
        <w:br/>
        <w:t xml:space="preserve">regarding the exclusive control acquisition of the Étoile Routière group by the  </w:t>
        <w:br/>
        <w:t xml:space="preserve">Malherbe group  </w:t>
        <w:br/>
        <w:t xml:space="preserve">The Competition Authority,  </w:t>
        <w:br/>
        <w:t xml:space="preserve">Having regard to the complete notification file submitted to the mergers department on November 9, 2022,  </w:t>
        <w:br/>
        <w:t xml:space="preserve">concerning the exclusive control acquisition of the company JI.T.F, the parent company of the Étoile Routière group  </w:t>
        <w:br/>
        <w:t xml:space="preserve">by the company Malherbe Transports, formalized by the firm offer letter dated July 18,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JI.T.F., the parent company  </w:t>
        <w:br/>
        <w:t xml:space="preserve">of the Étoile Routière group, by the company Malherbe Transports, the parent company of the Malherbe group,  </w:t>
        <w:br/>
        <w:t xml:space="preserve">both notably active in the road transport of goods and logistics services. The Malherbe group is also active in the organization of  </w:t>
        <w:br/>
        <w:t xml:space="preserve">goods transport. The operation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notified operation under number 22-240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