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https://www.autoritedelaconcurrence.fr/fr/decision-de-controle-des-concentrations/relative-la-prise-de-controle-exclusif-du-groupe-eurogiciel</w:t>
      </w:r>
    </w:p>
    <w:p>
      <w:r>
        <w:t>Pages translated : 2</w:t>
      </w:r>
    </w:p>
    <w:p/>
    <w:p>
      <w:r>
        <w:rPr>
          <w:b/>
        </w:rPr>
        <w:t>[Pages 1–2]</w:t>
      </w:r>
    </w:p>
    <w:p>
      <w:r>
        <w:t xml:space="preserve">FRENCH REPUBLIC  </w:t>
        <w:br/>
        <w:t xml:space="preserve">Decision No. 15-DCC-04 of January 27, 2015  </w:t>
        <w:br/>
        <w:t xml:space="preserve">regarding the acquisition of exclusive control of the Eurogiciel group by  </w:t>
        <w:br/>
        <w:t xml:space="preserve">Edmond de Rothschild Investment Partners  </w:t>
        <w:br/>
        <w:t xml:space="preserve">The Competition Authority,  </w:t>
        <w:br/>
        <w:t xml:space="preserve">Having regard to the complete notification file sent to the mergers department on January 5, 2015,  </w:t>
        <w:br/>
        <w:t xml:space="preserve">concerning the acquisition of exclusive control of the Eurogiciel group by Edmond de Rothschild  </w:t>
        <w:br/>
        <w:t xml:space="preserve">Investment Partners, materialized by a reiterative offer letter and a transfer protocol dated December 22,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exclusive control of the Eurogiciel group, active  </w:t>
        <w:br/>
        <w:t xml:space="preserve">in the information technology services sector, by the company Edmond de Rothschild Investment  </w:t>
        <w:br/>
        <w:t xml:space="preserve">Partners. It constitutes a concentration within the meaning of Article L.430-2 of the Commercial Code.  </w:t>
        <w:br/>
        <w:t xml:space="preserve">Given the turnover achieved by the companies concerned, the operation does not fall under the jurisdiction of the European Union. On the other hand, the control thresholds relating to concentration operations mentioned in point I of Article L. 430-2 of the Commercial Code are exceeded. This operation is therefore subject to the provisions of Articles L.430-3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14-225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