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https://www.autoritedelaconcurrence.fr/fr/decision-de-controle-des-concentrations/relative-la-prise-de-controle-exclusif-du-groupe-face-par</w:t>
      </w:r>
    </w:p>
    <w:p>
      <w:r>
        <w:t>Pages translated : 2</w:t>
      </w:r>
    </w:p>
    <w:p/>
    <w:p>
      <w:r>
        <w:rPr>
          <w:b/>
        </w:rPr>
        <w:t>[Pages 1–2]</w:t>
      </w:r>
    </w:p>
    <w:p>
      <w:r>
        <w:t xml:space="preserve">FRENCH REPUBLIC  </w:t>
        <w:br/>
        <w:t xml:space="preserve">Decision No. 21-DCC-124 of July 15, 2021  </w:t>
        <w:br/>
        <w:t xml:space="preserve">regarding the exclusive control acquisition of the Face group by the company  </w:t>
        <w:br/>
        <w:t xml:space="preserve">Hivest Capital Partners  </w:t>
        <w:br/>
        <w:t xml:space="preserve">The Competition Authority,  </w:t>
        <w:br/>
        <w:t xml:space="preserve">Having regard to the complete notification file sent to the mergers department on June 24, 2021  </w:t>
        <w:br/>
        <w:t xml:space="preserve">concerning the exclusive control acquisition of the Face group by the company Hivest Capital Partners and  </w:t>
        <w:br/>
        <w:t xml:space="preserve">materialized by a transfer and acquisition agreement dated June 24,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Hivest Capital  </w:t>
        <w:br/>
        <w:t xml:space="preserve">Partners of the Face group, active in the sector of major construction works for professional buildings. It constitutes a concentration operation within the meaning of Article L. 430-1 of the  </w:t>
        <w:br/>
        <w:t xml:space="preserve">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21-138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