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https://www.autoritedelaconcurrence.fr/fr/decision-de-controle-des-concentrations/relative-la-prise-de-controle-exclusif-du-groupe-financiere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16-DCC-47 of March 18, 2016  </w:t>
        <w:br/>
        <w:t xml:space="preserve">regarding the exclusive control acquisition of the Financière Cofidim group  </w:t>
        <w:br/>
        <w:t xml:space="preserve">by the investment fund Alpha Private Equity Fund 6  </w:t>
        <w:br/>
        <w:t xml:space="preserve">The Competition Authority,  </w:t>
        <w:br/>
        <w:t xml:space="preserve">Having regard to the complete notification file submitted to the mergers department on February 25, 2016,  </w:t>
        <w:br/>
        <w:t xml:space="preserve">concerning the exclusive control acquisition of the Financière Cofidim group by the investment  </w:t>
        <w:br/>
        <w:t xml:space="preserve">fund Alpha Private Equity Fund 6, formalized by a transfer protocol and a firm purchase offer dated January 16,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Financière Cofidim group,  </w:t>
        <w:br/>
        <w:t xml:space="preserve">active in the light repair sector, automotive maintenance as well as in the retail sector of spare parts and accessories for motor vehicles, by the  </w:t>
        <w:br/>
        <w:t xml:space="preserve">investment fund Alpha Private Equity Fund 6. This operation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 </w:t>
        <w:br/>
        <w:t xml:space="preserve">of the European Union. On the other hand, the control thresholds mentioned in point I of Article  </w:t>
        <w:br/>
        <w:t xml:space="preserve">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16-037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