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https://www.autoritedelaconcurrence.fr/fr/decision-de-controle-des-concentrations/relative-la-prise-de-controle-exclusif-du-groupe-findis-par</w:t>
      </w:r>
    </w:p>
    <w:p>
      <w:r>
        <w:t>Pages translated : 6</w:t>
      </w:r>
    </w:p>
    <w:p/>
    <w:p>
      <w:r>
        <w:rPr>
          <w:b/>
        </w:rPr>
        <w:t>[Pages 1–3]</w:t>
      </w:r>
    </w:p>
    <w:p>
      <w:r>
        <w:t xml:space="preserve">FRENCH REPUBLIC  </w:t>
        <w:br/>
        <w:t xml:space="preserve">Decision No. 17-DCC-21 of February 10, 2017  </w:t>
        <w:br/>
        <w:t>regarding the exclusive control of the Findis group by Naxicap Partners</w:t>
      </w:r>
    </w:p>
    <w:p>
      <w:r>
        <w:t xml:space="preserve">The Competition Authority,  </w:t>
        <w:br/>
        <w:t xml:space="preserve">Having regard to the notification file submitted in full to the merger service on January 9, 2017, regarding the exclusive control of the Findis group by Naxicap Partners, formalized by a put option dated November 30, 2016;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transaction  </w:t>
        <w:br/>
        <w:t xml:space="preserve">1. Naxicap Partners (hereinafter, "Naxicap") is a portfolio management company wholly owned by Natixis, which is majority-owned by Banque Populaire and Caisse d’Épargne (hereinafter, "BPCE"). Naxicap is involved in supporting development capital projects, capital restructuring, diversification of the assets of executives, financing of transfers, and creation, with interventions in equity. Its activity mainly focuses on small and medium-sized enterprises.  </w:t>
        <w:br/>
        <w:t xml:space="preserve">2. The Findis group (hereinafter, "Findis") is headed by Findis SAS, controlled by the investment fund Activa Capital Fund II, which is managed by Activa Capital, subject to fluctuating control by private individuals. Findis consists of several companies active in the wholesale distribution of household appliances and tableware. It also operates five retail networks under the brands ProxiConfort, BlancBrun, Domial, Extra, and Cuisine Plaisir and owns 5 stores.  </w:t>
        <w:br/>
        <w:t>1 These stores are located in Vichy (03), Barberey-Saint-Sulplice (10), Marsac-sur-l’Isle (24), Montereau-Fault-Yonne (77), and Epinal (88).</w:t>
      </w:r>
    </w:p>
    <w:p>
      <w:r>
        <w:t xml:space="preserve">3. Pursuant to a put option signed by the parties on November 30, 2016, the transaction involves the acquisition by Naxicap of [...]% of the share capital and voting rights of Findis. The remainder of the capital is held by several minority shareholders, none of whom have, individually or collectively, veto rights that would grant them decisive influence over the strategic decisions of Findis. As it results in the exclusive control of Findis by Naxicap, the notified transaction constitutes a concentration within the meaning of Article L. 430-1 of the Commercial Code.  </w:t>
        <w:br/>
        <w:t>4. The companies concerned together achieve a total worldwide turnover excluding taxes of more than 150 million euros (BPCE: [...] euros for the fiscal year ending December 31, 2015; Findis: [...] euros for the same fiscal year). Each of these companies has achieved a turnover in France exceeding 50 million euros (BPCE: [...] euros for the fiscal year ending December 31, 2015; Findis: [...] euros for the same fiscal year). The notification thresholds of Article 1 paragraph 2 of Regulation (EC) No. 139/2004 are exceeded, but since each of the concerned companies generates more than two-thirds of its turnover within the Union in France,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w:t>
      </w:r>
    </w:p>
    <w:p>
      <w:r>
        <w:t xml:space="preserve">II. Definition of the relevant markets  </w:t>
        <w:br/>
        <w:t>5. The parties are concurrently present in the household appliance sector. Naxicap is active, through the companies Caves &amp; Cp and Vervent Audio Group which it controls, in the markets for the supply of large household appliances and hi-fi/sound devices, as a manufacturer. Findis is active in this sector as a buyer since it distributes these products in wholesale and retail markets.</w:t>
      </w:r>
    </w:p>
    <w:p>
      <w:r>
        <w:t xml:space="preserve">A. THE UPSTREAM MARKET FOR THE SUPPLY OF HOUSEHOLD APPLIANCES  </w:t>
        <w:br/>
        <w:t xml:space="preserve">1. PRODUCT MARKETS  </w:t>
        <w:br/>
        <w:t xml:space="preserve">6. Regarding the upstream supply markets, competition authorities have noted that "producers manufacture specific products or groups of products and are not technically able to easily convert to the manufacture of other products without significant costs." Furthermore, "at the supply level, it can be considered that there are as many markets as there are product families subject to negotiation, each distributor putting various suppliers in competition on each of the markets."  </w:t>
        <w:br/>
        <w:t xml:space="preserve">2 Decision of the Competition Council No. 03-D-39 of July 20, 2009, regarding the competitive situation in the franchise network created by Plus International.  </w:t>
        <w:br/>
        <w:t>3 See in particular the opinion of the Competition Council No. 07-A-06 of July 16, 2007, regarding the acquisition by Cafom of the distribution division of Fincar in the home equipment sales sector; the letter from the Minister of Economy, Finance and Employment No. C2006-155 of August 31, 2007, to the board of Cafom, regarding a concentration in the home equipment sales sector; the decisions of the Competition Authority No. 09-DCC-21 of July 23, 2009, regarding the exclusive control of DVMM by the But group; No. 09-DCC-62 of November 2, 2009, regarding the exclusive control of the company.</w:t>
      </w:r>
    </w:p>
    <w:p>
      <w:r>
        <w:t xml:space="preserve">7. Based on the organization of the distributors' "purchase" divisions, competition authorities thus resort to segmentation according to the following product groups: (i) large household appliances; (ii) small household appliances; (iii) photo/cinema devices; (iv) hi-fi/sound devices; (v) TV/video devices; (vi) computers/peripherals; and (vii) telephony.  </w:t>
        <w:br/>
        <w:t>8. In this case, Naxicap is active in the markets for the supply of (i) large household appliances and (ii) hi-fi/sound devices. The competitive analysis will therefore be conducted on these two product markets.</w:t>
      </w:r>
    </w:p>
    <w:p>
      <w:r>
        <w:t xml:space="preserve">2. GEOGRAPHIC MARKETS  </w:t>
        <w:br/>
        <w:t>9. Competition authorities consider that the markets for the supply of household appliances are at least national in scope, if not European. There is no need to revisit this delimitation of geographic markets in the context of the present transaction.</w:t>
      </w:r>
    </w:p>
    <w:p>
      <w:r>
        <w:t xml:space="preserve">B. DOWNSTREAM MARKETS FOR THE DISTRIBUTION OF HOUSEHOLD APPLIANCES  </w:t>
        <w:br/>
        <w:t xml:space="preserve">1. WHOLESALE DISTRIBUTION MARKETS FOR HOUSEHOLD APPLIANCES  </w:t>
        <w:br/>
        <w:t xml:space="preserve">a) Product markets  </w:t>
        <w:br/>
        <w:t xml:space="preserve">10. Decision-making practice has considered the existence of a wholesale distribution market for household appliances, segmented according to the following product groups: (i) large household appliances; (ii) small household appliances; (iii) photo/cinema devices; (iv) hi-fi/sound devices; (v) TV/video devices; (vi) computers/peripherals; and (vii) telephony.  </w:t>
        <w:br/>
        <w:t xml:space="preserve">11. Furthermore, a segmentation of the markets according to distribution channels has been considered, distinguishing products sold (i) to large food retailers ("GSA"), (ii) to large specialized retailers ("GSS"), (iii) to convenience stores, and (iv) to retailers selling by distance.  </w:t>
        <w:br/>
        <w:t>12. In this case, Findis is active in the wholesale distribution markets for (i) large household appliances and (ii) hi-fi/sound devices.</w:t>
      </w:r>
    </w:p>
    <w:p>
      <w:r>
        <w:t xml:space="preserve">b) Geographic markets  </w:t>
        <w:br/>
        <w:t>13. Decision-making practice considers that the wholesale distribution markets for household appliances are generally of national, if not regional, scope. There is no need to challenge this delimitation of the markets in the context of the present transaction.</w:t>
      </w:r>
    </w:p>
    <w:p>
      <w:r>
        <w:rPr>
          <w:b/>
        </w:rPr>
        <w:t>[Pages 4–6]</w:t>
      </w:r>
    </w:p>
    <w:p>
      <w:r>
        <w:t xml:space="preserve">2. RETAIL DISTRIBUTION MARKETS FOR HOUSEHOLD APPLIANCES  </w:t>
        <w:br/>
        <w:t xml:space="preserve">a) Product markets  </w:t>
        <w:br/>
        <w:t xml:space="preserve">14. Regarding the retail distribution of household appliances, competition authorities traditionally distinguish three product families: "white" goods, "brown" goods, and "grey" goods.  </w:t>
        <w:br/>
        <w:t xml:space="preserve">15. The category of white goods notably includes cooktops, stoves, ovens, built-in sets, hoods, washing machines, dryers, dishwashers, refrigerators, freezers, small kitchen appliances, coffee makers, food processors, irons, and vacuum cleaners. Concerning the distribution of white goods, the decision-making practice of the Authority has considered a sub-segmentation between small and large household appliances.  </w:t>
        <w:br/>
        <w:t xml:space="preserve">16. The category of brown goods includes televisions, camcorders, hi-fi and audio equipment, digital devices, and DVD players.  </w:t>
        <w:br/>
        <w:t xml:space="preserve">17. The category of grey goods encompasses personal computers, screens, peripherals (printers or scanners), keyboards, modular accessories or spare parts (memory cards or additional hard drives), software, and telephony.  </w:t>
        <w:br/>
        <w:t xml:space="preserve">18. The decision-making practice of the Authority also considers that large-scale retailers (GSS) in household appliances face competition from large-scale distributors (GSA) and hard-discount stores specialized in the retail of household appliances.  </w:t>
        <w:br/>
        <w:t xml:space="preserve">19. Furthermore, the Authority has noted that, regarding the retail markets for household appliances, distance selling and in-store selling are now two sufficiently substitutable sales channels to be considered as part of the same market.  </w:t>
        <w:br/>
        <w:t xml:space="preserve">20. In this case, the exact delineation of these markets can be left open, with the conclusions of the competitive analysis remaining unchanged, regardless of the assumptions made.  </w:t>
        <w:br/>
        <w:t xml:space="preserve">b) Geographic markets  </w:t>
        <w:br/>
        <w:t xml:space="preserve">21. Regarding the downstream markets for the retail distribution of household appliances, competition authorities consider them to be of local dimension.  </w:t>
        <w:br/>
        <w:t xml:space="preserve">22. It has been considered that, for this type of purchase, consumers are willing to make a car trip lasting 20 to 45 minutes to compare products and prices from one retailer to another. However, this duration varies depending on the size of the store and other characteristics specific to each area, such as geography, population density, or other nearby stores.  </w:t>
        <w:br/>
        <w:t xml:space="preserve">23. In accordance with the recent practice of the Authority regarding these markets, catchment areas corresponding to (i) travel times of 30 minutes by car in rural areas, outside major cities, (ii) travel times of 20 minutes by car for the Paris region and major provincial cities, and (iii) regarding Paris, catchment areas with a radius of 3 kilometers in addition to an analysis of the geographic market covering inner Paris may be retained.  </w:t>
        <w:br/>
        <w:t xml:space="preserve">24. In this case, the stores operated by Findis are located in rural areas, outside major cities.  </w:t>
        <w:br/>
        <w:t xml:space="preserve">25. In any event, the question of the exact delineation of the relevant geographic markets can be left open, with the conclusions of the competitive analysis remaining unchanged, regardless of the assumptions made.  </w:t>
        <w:br/>
        <w:t xml:space="preserve">III. Competitive analysis  </w:t>
        <w:br/>
        <w:t xml:space="preserve">A. ANALYSIS OF VERTICAL EFFECTS  </w:t>
        <w:br/>
        <w:t xml:space="preserve">26.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The lock-in strategy can also concern upstream markets when the downstream branch of the integrated company refuses to purchase products from upstream manufacturers, thereby reducing their commercial outlets. The decision-making practice of competition authorities generally dismisses these lock-in risks when the market share of the entity resulting from the operation in the relevant markets does not exceed 30%.  </w:t>
        <w:br/>
        <w:t xml:space="preserve">27. In this case, the activities of the parties are vertically related, as Naxicap is active in the upstream markets for the supply of (i) large household appliances and (ii) hi-fi/sound products, and Findis in the downstream markets for the wholesale and retail distribution of these same products.  </w:t>
        <w:br/>
        <w:t xml:space="preserve">28. However, the new entity has low market shares in the upstream and downstream markets concerned by the operation.  </w:t>
        <w:br/>
        <w:t xml:space="preserve">29. Upstream, the market shares of the new entity do not exceed [0-5]% in the markets for the supply of large household appliances and hi-fi/sound devices.  </w:t>
        <w:br/>
        <w:t xml:space="preserve">30. In the wholesale distribution markets, the market shares of the new entity are below [10-20]%, regardless of the segment and geographic level considered. In each of the regions where Findis is active, the new entity faces at least six regional competitors and several national competitors, such as Darty Pro, Pro by Pro, GPDIS, Pro et Cie, Ex &amp; Co, and Digital.  </w:t>
        <w:br/>
        <w:t xml:space="preserve">31. Finally, downstream, Findis's presence is very limited in the local retail markets for household appliances, where the new entity will face competition from numerous operators, such as large-scale distributors (Auchan, Carrefour, Leclerc, Casino, among others), large-scale retailers (Fnac/Darty, Conforama, But, Boulanger), as well as pure players (Amazon, Cdiscount).  </w:t>
        <w:br/>
        <w:t xml:space="preserve">32. Therefore, the operation is not likely to affect competition through vertical effects.  </w:t>
        <w:br/>
        <w:t xml:space="preserve">DECIDES  </w:t>
        <w:br/>
        <w:t xml:space="preserve">Sole Article: The notified operation under number 16-278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