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https://www.autoritedelaconcurrence.fr/fr/decision-de-controle-des-concentrations/relative-la-prise-de-controle-exclusif-du-groupe-flandria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23-DCC-154 of 26 July 2023  </w:t>
        <w:br/>
        <w:t xml:space="preserve">regarding the exclusive control of the Flandria group by  </w:t>
        <w:br/>
        <w:t xml:space="preserve">Exlabesa  </w:t>
        <w:br/>
        <w:t xml:space="preserve">The Competition Authority,  </w:t>
        <w:br/>
        <w:t xml:space="preserve">Having regard to the complete notification file sent to the mergers department on 5 July 2023,  </w:t>
        <w:br/>
        <w:t xml:space="preserve">concerning the exclusive control of the Flandria group by the company Exlabesa, through  </w:t>
        <w:br/>
        <w:t xml:space="preserve">the company Kaye Aluminium Holdings, formalized by a letter of intent dated 10 February 2023;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exclusive control of the Flandria group by the company  </w:t>
        <w:br/>
        <w:t xml:space="preserve">Exlabesa, both active in the aluminum extrusion sector, via the company Kaye  </w:t>
        <w:br/>
        <w:t xml:space="preserve">Aluminium Holdings. The operation constitutes a concentration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The present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23-162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