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https://www.autoritedelaconcurrence.fr/fr/decision-de-controle-des-concentrations/relative-la-prise-de-controle-exclusif-du-groupe-flowbird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21-DCC-187 of October 15, 2021  </w:t>
        <w:br/>
        <w:t xml:space="preserve">regarding the exclusive control acquisition of the Flowbird group by the  </w:t>
        <w:br/>
        <w:t xml:space="preserve">Searchlight Capital Partners group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24, 2021, concerning the exclusive control acquisition of the Flowbird group by the  </w:t>
        <w:br/>
        <w:t xml:space="preserve">Searchlight Capital Partners group, formalized by a share purchase option agreement dated  </w:t>
        <w:br/>
        <w:t xml:space="preserve">August 5,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transaction consists of the exclusive control acquisition by the Searchlight Capital  </w:t>
        <w:br/>
        <w:t xml:space="preserve">Partners group of the Flowbird group, which is active in the urban mobility sector, providing  </w:t>
        <w:br/>
        <w:t xml:space="preserve">payment and parking management solutions as well as ticketing solutions for  </w:t>
        <w:br/>
        <w:t xml:space="preserve">public transport. It constitutes a concentration operation within the meaning of Article L. 430-1 of the  </w:t>
        <w:br/>
        <w:t xml:space="preserve">Commercial Code. Given the revenues generated by the concerned companies, the operation does not fall  </w:t>
        <w:br/>
        <w:t xml:space="preserve">under the jurisdiction of the European Union. On the other hand, the control thresholds mentioned in 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notified operation under number 21-204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