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https://www.autoritedelaconcurrence.fr/fr/decision-de-controle-des-concentrations/relative-la-prise-de-controle-exclusif-du-groupe-fmg-par-le</w:t>
      </w:r>
    </w:p>
    <w:p>
      <w:r>
        <w:t>Pages translated : 6</w:t>
      </w:r>
    </w:p>
    <w:p/>
    <w:p>
      <w:r>
        <w:rPr>
          <w:b/>
        </w:rPr>
        <w:t>[Pages 1–3]</w:t>
      </w:r>
    </w:p>
    <w:p>
      <w:r>
        <w:t xml:space="preserve">FRENCH REPUBLIC  </w:t>
        <w:br/>
        <w:t xml:space="preserve">Decision No. 23-DCC-05 of January 17, 2023  </w:t>
        <w:br/>
        <w:t xml:space="preserve">regarding the exclusive control of the FMG group by the LFPI group  </w:t>
        <w:br/>
        <w:t xml:space="preserve">The Competition Authority,  </w:t>
        <w:br/>
        <w:t xml:space="preserve">Having regard to the notification file submitted in full to the merger service on December 16, 2022, regarding the exclusive control of the FMG group by the LFPI group, formalized by a transfer protocol dated December 2, 2022;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 xml:space="preserve">I. The Companies Involved and the Transaction  </w:t>
        <w:br/>
        <w:t xml:space="preserve">1. La Financière Patrimoniale d’Investissement (hereinafter "LFPI") is a simplified joint-stock company heading a group of fund management companies in Europe. LFPI is notably active, through the company Ithaque Investissements and its subsidiaries, in the sectors of corporate hospitality and events, operational marketing, and call centers. LFPI also conducts market studies and surveys (via the company Etudinvest - IFOP). LFPI is primarily owned by the company Financière Varatedo, which is exclusively controlled by [confidential].  </w:t>
        <w:br/>
        <w:t xml:space="preserve">2. The company FMG Sales and Marketing, ultimately controlled by Mr. Raphael Laurenty, is the holding company of the FMG group, active in the operational marketing sector.  </w:t>
        <w:br/>
        <w:t xml:space="preserve">3. The transaction, formalized by a transfer protocol dated December 2, 2022, consists of the acquisition of all the capital and voting rights of FMG Sales and Marketing by the company Ithaque Investissements.  </w:t>
        <w:br/>
        <w:t xml:space="preserve">4. Insofar as it results in the exclusive control of the FMG group by LFPI, the notified transaction constitutes a concentration within the meaning of Article L. 430-1 of the Commercial Code.  </w:t>
        <w:br/>
        <w:t>5. The companies involved together generate a total worldwide turnover of more than 150 million euros (LFPI: [≥ 150 million] euros for the fiscal year ending December 31, 2021; FMG: [≤ 150 million] euros for the fiscal year ending December 31, 2021). Each of these companies generates, in France, a turnover exceeding 50 million euros (LFPI: [≥ 50 million] euros for the fiscal year ending December 31, 2021; FMG: [≥ 50 million] euros for the fiscal year ending December 31, 2021). Given these turnover figures, the transaction does not have a European dimension. However, the control thresholds mentioned in I of Article L. 430-2 of the Commercial Code are exceeded. The present transaction is therefore subject to the provisions of Articles L. 430-3 and following of the Commercial Code, relating to economic concentration.</w:t>
      </w:r>
    </w:p>
    <w:p>
      <w:r>
        <w:t xml:space="preserve">II. Definition of the Relevant Markets  </w:t>
        <w:br/>
        <w:t xml:space="preserve">6. The parties are simultaneously active in the operational marketing sector.  </w:t>
        <w:br/>
        <w:t xml:space="preserve">A. SERVICE MARKETS  </w:t>
        <w:br/>
        <w:t>1 The parties are also marginally active in the temporary labor market (their combined market shares are below [0-5]% regardless of the segmentation considered). Furthermore, LFPI offers, through the company Etudinvest, market study services. The quality audit offers, performance satisfaction surveys, and mystery shopping services of the target do not resemble such services, but rather involve information gathering, so that the transaction does not induce any horizontal effect regarding this activity. Similarly, given the limited positions of the parties, any risk of non-horizontal effect can be ruled out.</w:t>
      </w:r>
    </w:p>
    <w:p>
      <w:r>
        <w:t xml:space="preserve">7. The European Commission has defined a market for marketing and communication services that includes a range of activities such as advertising services, information and consulting services, public relations, direct management (or consumer relationship management or event management), and brand identity and design. The provision of direct management services, consumer relationship management, and event management is understood as "the planning, design, and implementation of direct marketing campaigns and sales promotions." According to European decision-making practice, there is no need to segment the market for marketing and communication services by type of services.  </w:t>
        <w:br/>
        <w:t xml:space="preserve">8. The notifying party considers that the market for marketing and communication services retained by the European Commission is not appropriate in this case to assess the activities of the parties, as it essentially covers advertising design services, strategic marketing, and communication. It argues that, in contrast, the services provided by the parties to the transaction correspond to operational marketing services, or "field" marketing, aimed at optimizing the marketing of their clients' products in or at points of sale and involving direct intervention (to follow orders, organize shelves, install products, carry out promotional activities at points of sale, etc.).  </w:t>
        <w:br/>
        <w:t xml:space="preserve">9. The operational marketing market has not yet been defined by national or European decision-making practice. The notifying party defines it as the activity for clients whose products are sold at points of sale to outsource the services related to the marketing and sale of products at said points of sale. Relying on an internal study conducted as part of the transaction, it considers that operational marketing would encompass three main activities implemented at points of sale, namely, promotional activities, merchandising, and the provision of supplementary sales forces.  </w:t>
        <w:br/>
        <w:t xml:space="preserve">10. Promotional activities correspond to the provision of a promotional service aimed at consumers organized by a brand at a point of sale, to highlight a consumer product or a brand. Among the promotional activities are demonstrations, tastings, advice, or the use of discount or partial refund coupons (a practice known as couponing).  </w:t>
        <w:br/>
        <w:t xml:space="preserve">11. Merchandising encompasses various techniques aimed at presenting a product in the best possible conditions to enhance its profitability. Merchandising notably covers the following aspects: the composition of the assortment, the allocation of space by products and brands within the shelf, the layout and optimization of the point of sale, and the highlighting of products.  </w:t>
        <w:br/>
        <w:t xml:space="preserve">12. The services of supplementary sales forces allow a producer to complement, strengthen, or even replace the sales teams at its clients' points of sale, with the aim of improving the marketing of its products there. These services include in particular the  </w:t>
        <w:br/>
        <w:t xml:space="preserve">2 See the Commission decision COMP/M.3579 – WPP/Grey of January 24, 2005.  </w:t>
        <w:br/>
        <w:t xml:space="preserve">3 See the Commission decision COMP/M.2000 – WPP/Young &amp; Rubicam of August 24, 2000.  </w:t>
        <w:br/>
        <w:t>4 It should be noted that the parties also have, marginally, an event marketing activity. Regardless of the market to which this activity could be attached (autonomous market of event marketing or inclusion in the market for marketing and communication services), the combined market share of the parties would be below [0-5]%.</w:t>
      </w:r>
    </w:p>
    <w:p>
      <w:r>
        <w:rPr>
          <w:b/>
        </w:rPr>
        <w:t>[Pages 4–6]</w:t>
      </w:r>
    </w:p>
    <w:p>
      <w:r>
        <w:t xml:space="preserve">control of the contractual and commercial conditions agreed between the supplier and the seller, the receipt of orders, and the monitoring of deliveries.  </w:t>
        <w:br/>
        <w:t xml:space="preserve">13. The presentation of the operational marketing activity and the existence of these three distinct activities was confirmed during the investigation by SORAP5, the main professional organization in the sector.  </w:t>
        <w:br/>
        <w:t xml:space="preserve">14. The notifying party, however, argues that, similar to the market for marketing and communication services, the operational marketing market is a global market that encompasses all the segmentations listed above, particularly since (i) the operators offering these services can essentially intervene in the three activities in question, (ii) the services all aim to improve the marketing and sale of clients' products at points of sale and constitute an integrated offer in this respect, (iii) these services are provided in a single location, and (iv) the entire profession falls under the same collective agreement.  </w:t>
        <w:br/>
        <w:t xml:space="preserve">15. In any case, in this instance, the question of the existence of a single operational marketing market, or three distinct markets by type of activity, can be left open, as the conclusions of the competitive analysis remain unchanged regardless of the segmentation adopted.  </w:t>
        <w:br/>
        <w:t xml:space="preserve">16. The parties also propose a direct sales activity that has been linked, within the notifying party's aforementioned study, to operational marketing. Nevertheless, the notifying party considers that the direct sales market is distinct from that of operational marketing because it does not have the same purpose (subscription sales in direct sales, optimization of marketing and sales at points of sale in other cases) nor the same place of execution (at the end customer in direct sales, in-store in other cases) as commercial animation, merchandising, and supplementary sales forces.  </w:t>
        <w:br/>
        <w:t xml:space="preserve">17. The information gathered from SORAP suggests that direct sales are integrated into the "Sales Forces" activity.  </w:t>
        <w:br/>
        <w:t xml:space="preserve">18. In any case, the question of the inclusion of this activity in the operational marketing market or in a potential sales forces market can remain open insofar as the conclusions of the competitive analysis are identical regardless of the option chosen.  </w:t>
        <w:br/>
        <w:t xml:space="preserve">19. In the present case, the competitive analysis will therefore be conducted on the overall operational marketing market, as well as on the four markets of supplementary sales forces, commercial animation, merchandising, and direct sales.  </w:t>
        <w:br/>
        <w:t xml:space="preserve">B. GEOGRAPHICAL MARKETS  </w:t>
        <w:br/>
        <w:t xml:space="preserve">20. With regard to the market for marketing and communication services, the European Commission has retained a national geographical dimension.  </w:t>
        <w:br/>
        <w:t xml:space="preserve">21. The notifying party argues that the operational marketing market would also be of national dimension given the differences in languages and regulations and the fact that the companies involved in the transaction conduct all their operational marketing activities solely within the national territory. In this regard, it is noted that the elements communicated during the investigation corroborate the parties' position.  </w:t>
        <w:br/>
        <w:t xml:space="preserve">22. Under these conditions, the Authority will conduct its analysis, in this case, at the national level.  </w:t>
        <w:br/>
        <w:t xml:space="preserve">III. Competitive Analysis  </w:t>
        <w:br/>
        <w:t xml:space="preserve">23. Following the transaction, the new entity will have a market share in the overall operational marketing market of less than 15% (whether or not the direct sales activity is included in the market).  </w:t>
        <w:br/>
        <w:t xml:space="preserve">24. In the market for supplementary sales forces, the new entity will hold an estimated market share of less than 5% (whether or not the direct sales activity is included in the market).  </w:t>
        <w:br/>
        <w:t xml:space="preserve">25. In the market for commercial animation, the estimated market share of the new entity will be around [10-20]%.  </w:t>
        <w:br/>
        <w:t xml:space="preserve">26. In the merchandising market, the transaction will not result in any overlap of activities between the parties, with only FMG being active in this market, and the estimated market share of the new entity will be less than [20-30]%.  </w:t>
        <w:br/>
        <w:t xml:space="preserve">27. In the direct sales market, the new entity will have an estimated cumulative market share of less than 2%.  </w:t>
        <w:br/>
        <w:t xml:space="preserve">28. Furthermore, across all these markets, the new entity will continue to face competition from numerous operators with similar market shares (Impact, Optimark, CPM).  </w:t>
        <w:br/>
        <w:t xml:space="preserve">29. In light of the above, the transaction is therefore not likely to harm competition in the relevant markets.  </w:t>
        <w:br/>
        <w:t xml:space="preserve">DECISION  </w:t>
        <w:br/>
        <w:t xml:space="preserve">Sole Article: The transaction notified under number 22-234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