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https://www.autoritedelaconcurrence.fr/fr/decision-de-controle-des-concentrations/relative-la-prise-de-controle-exclusif-du-groupe-foure</w:t>
      </w:r>
    </w:p>
    <w:p>
      <w:r>
        <w:t>Pages translated : 2</w:t>
      </w:r>
    </w:p>
    <w:p/>
    <w:p>
      <w:r>
        <w:rPr>
          <w:b/>
        </w:rPr>
        <w:t>[Pages 1–2]</w:t>
      </w:r>
    </w:p>
    <w:p>
      <w:r>
        <w:t xml:space="preserve">FRENCH REPUBLIC  </w:t>
        <w:br/>
        <w:t xml:space="preserve">Decision No. 18-DCC-150 of August 30, 2018  </w:t>
        <w:br/>
        <w:t xml:space="preserve">regarding the exclusive control acquisition of the Fouré Lagadec group by the  </w:t>
        <w:br/>
        <w:t xml:space="preserve">Snef group  </w:t>
        <w:br/>
        <w:t xml:space="preserve">The Competition Authority,  </w:t>
        <w:br/>
        <w:t xml:space="preserve">Having regard to the complete notification file sent to the mergers department on August 7, 2018,  </w:t>
        <w:br/>
        <w:t xml:space="preserve">concerning the exclusive control acquisition of the Fouré Lagadec group by the Snef group, formalized  </w:t>
        <w:br/>
        <w:t xml:space="preserve">by a unilateral purchase promise dated May 28, 2018;  </w:t>
        <w:br/>
        <w:t xml:space="preserve">Having regard to Book IV of the Commercial Code relating to the freedom of prices and competition, and  </w:t>
        <w:br/>
        <w:t xml:space="preserve">notably its Articles L. 430-1 to L. 430-7;  </w:t>
        <w:br/>
        <w:t xml:space="preserve">Having regard to the elements transmitted during the investigation by the notifying party;  </w:t>
        <w:br/>
        <w:t xml:space="preserve">Adopts the following decision:  </w:t>
        <w:br/>
        <w:t xml:space="preserve">1. The notified operation consists of the acquisition by the Snef group of exclusive control of the Fouré Lagadec group1. It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the manufacturing of maritime equipment, which are consistently defined by the decision-making practice of the Competition Authority.  </w:t>
        <w:br/>
        <w:t xml:space="preserve">3. Regardless of the segmentations retained, the combined market shares of the parties are below 25%.  </w:t>
        <w:br/>
        <w:t xml:space="preserve">4. Considering the elements of the file and in particular point 384 of the guidelines of the Competition Authority relating to the control of concentrations, the operation is not likely to harm competition.  </w:t>
        <w:br/>
        <w:t>1 Except for the company CEAMAG, a subsidiary of the Fouré Lagadec group, outside the scope of the transaction.</w:t>
      </w:r>
    </w:p>
    <w:p>
      <w:r>
        <w:t xml:space="preserve">DECIDES  </w:t>
        <w:br/>
        <w:t xml:space="preserve">Sole Article: The operation notified under number 18-134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